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36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ИК/18146/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</w:t>
        <w:br/>
        <w:t>№052/06/105-2370/2024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153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тГо@ГаЬпкап1.ш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62" w:right="0" w:bottom="15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№052/06/105-2370/2024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9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73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</w:t>
      </w:r>
    </w:p>
    <w:tbl>
      <w:tblPr>
        <w:tblOverlap w:val="never"/>
        <w:jc w:val="center"/>
        <w:tblLayout w:type="fixed"/>
      </w:tblPr>
      <w:tblGrid>
        <w:gridCol w:w="1963"/>
        <w:gridCol w:w="8285"/>
      </w:tblGrid>
      <w:tr>
        <w:trPr>
          <w:trHeight w:val="59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Путриной В.Б.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420" w:right="0" w:hanging="1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-представителя ИП Вилков Д.Р. по доверенности (доверенность от 06.09.2024)</w:t>
            </w:r>
          </w:p>
        </w:tc>
      </w:tr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Ткаченко А.Б.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20" w:right="0" w:hanging="1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-представителя ГКУ НО "Нижегородстройзаказчик" по доверенности (доверенность от 20.09.2024)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Вилкова Данилы Романовича (далее также — ИП Вилков Д.Р., индивидуальный предприниматель, заявитель) на действия Государственного казённого учреждения Нижегородской области «Нижегородстройзаказчик» (далее также — ГКУ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 "Нижегородстройзаказчик", заказчик) при определении поставщика путем проведения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0332200065924000227,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0332200065924000227 (далее - запрос котировок).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доводами, изложенными в жалобе заявителя, не согласился, факт нарушения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17.09.2024 в единой информационной системе и на сайте электронной площадки - «Фабрикант» - размещено извещение о проведении запроса котировок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- 4 300 000, 00 рублей.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заказчик неправомерно указал в проекте контракта следующие требования: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огласно п. 6.2.1 проекта Контракта в срок не позднее одного рабочего дня с момента размещения в Единой информационной системе в сфере закупок (ЕИС) протокола подведения итогов определения поставщика продавец обязан предоставить Заказчику следующие документы: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выписку из Единого государственного реестра недвижимости (ЕГРН) на указанное в заявке жилое помещение (квартиру), дата выдачи - не ранее 14 дней с момента размещений в ЕИС протокола подведения итогов определения поставщика;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копию доверенности на право осуществления всех необходимых действий на запросе котировок в электронной форме, на электронных торговых площадках, в том числе на право подавать от имени доверителя (доверителей) заявку на участие в запросе котировок в электронной форме, подписывать от имени доверителя (доверителей) все необходимые документы, совершать все действия, связанные с участием доверителя (доверителей) в запросах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котировок в электронной форме на приобретение жилых помещений (квартир), в отношении жилого помещения (квартиры), указанного в заявке, без права получения денежных средств;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расчетный счет (расчетные счета), ИНН доверителя (доверителей) для получения денежных средств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проект контракта содержит положения, обязывающие победителя запроса котировок в электронной форме предоставить указанные документы.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10.1 Контракта, Контракт вступает в силу с момента его заключения и действует до полного исполнения Сторонами своих обязательств по нему и может быть расторгнут по соглашению сторон, по решению суда, в связи с отказом стороны Контракта от его исполнения по основаниям, предусмотренным гражданским законодательствам, и в порядке, установленном Федеральным законом от 05.04.2013 № 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№44-ФЗ извещение об осуществлении закупки или приглашение, документация о закупке, заявка не предусмотрены.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статьи 425 Гражданского кодекса Российской Федерации (далее - ГК РФ) гражданско-правовой договор вступает в силу и становится обязательным для сторон с момента его заключения.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статьи 425 ГК РФ стороны вправе установить, что условия заключенного ими договора применяются к их отношениям, возникшим до заключения договора, если иное не установлено законом или не вытекает из существа соответствующих отношений.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о контрактной системе установлено, что закупка начинается с определения поставщика (подрядчика, исполнителя) и завершается исполнением обязательств сторонами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пункту 2 статьи 3 Закона определение поставщика начинается с размещения извещения об осуществлении закупки товара, работы, услуги для обеспечения государственных нужд (федеральных нужд, нужд субъекта Российской Федерации) или муниципальных нужд либо в установленных Законом случаях с направления приглашения принять участие в определении поставщика (подрядчика, исполнителя) и завершается заключением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применение положений пункта 2 статьи 425 ГК РФ не представляется возможным к отношениям, регулируемым Законом о контрактной системе, в связи с тем, что обязательственные правоотношения между заказчиком и поставщиком начинаются исключительно с момента заключения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учётом изложенного, довод жалобы заявителя является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Нижегородского УФАС отмечает следующее: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законодательством Российской Федерации (пункт 1 части 1 статьи 31 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пунктах 1 и 2 статьи 209 Гражданского кодекса Российской Федерации (далее - ГК РФ) установлено, что собственнику принадлежат права владения, пользования и распоряжения своим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имуществом. Собственник вправе по своему усмотрению совершать в отношении принадлежащего ему имущества любые действия, не противоречащие закону и иным правовым актам и не нарушающие права и охраняемые законом интересы других лиц, в том числе отчуждать свое имущество в собственность другим лицам, передавать им, оставаясь собственником, права владения, пользования и распоряжения имуществом, отдавать имущество в залог и обременять его другими способами, распоряжаться им иным образом.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статьи 131 ГК РФ право собственности и другие вещные права на недвижимые вещи, ограничения этих прав, их возникновение, переход и прекращение подлежат государственной регистрации в едином государственном реестре органами, осуществляющими государственную регистрацию прав на недвижимость и сделок с ней.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1 Федерального закона от 13.07.2015 №218-ФЗ "О государственной регистрации недвижимости" (далее - Закон о регистрации) государственная регистрация права в Едином государственном реестре недвижимости является единственным доказательством существования зарегистрированного права.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системного толкования приведенных норм права следует, что продавцом недвижимого имущества, к числу которого относятся жилые помещения, может быть только собственник данного имущества (или уполномоченное им лицо), право собственности которого зарегистрировано в установленном порядке. (Постановление Арбитражного суда Московского округа от 27.04.2024 №Ф05-7285/2024 по делу №А40-188025/2023)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Нижегородского УФАС приходит к выводу, что Заказчик вправе устанавливать требование о подтверждении участником закупки своих полномочий на распоряжение имуществом в требованиях к составу заявки на участие в закупке. В таком случае, данное требование не нарушает положения Закона о контрактной системе, а также не ограничивает круг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заказчику, единой комиссии,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всех протоколов, составленных в ходе проведения рассматриваемой закупки, внесения изменений в извещение и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</w:t>
      </w:r>
      <w:bookmarkEnd w:id="10"/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Вилкова Данилы Романовича о нарушении ГКУ НО «Нижегородстройзаказчик» требований законодательства Российской Федерации о контрактной системе в сфере закупок при осуществлении закупки путем проведения запроса котировок в электронной форме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0332200065924000227,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части 6 статьи 31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аукционной комиссии и оператору электронной площадки предписание об устранении допущенных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28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62" w:right="527" w:bottom="1598" w:left="108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0" w:bottom="149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6195060</wp:posOffset>
                </wp:positionH>
                <wp:positionV relativeFrom="paragraph">
                  <wp:posOffset>12700</wp:posOffset>
                </wp:positionV>
                <wp:extent cx="1024255" cy="2527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7.80000000000001pt;margin-top:1.pt;width:80.650000000000006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  <w:bookmarkEnd w:id="12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3383" w:bottom="1493" w:left="1159" w:header="0" w:footer="3" w:gutter="0"/>
          <w:cols w:num="2" w:space="1723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4" w:right="0" w:bottom="8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/>
        <w:keepLines/>
        <w:framePr w:w="2112" w:h="394" w:wrap="none" w:vAnchor="text" w:hAnchor="page" w:x="1160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14"/>
    </w:p>
    <w:p>
      <w:pPr>
        <w:pStyle w:val="Style12"/>
        <w:keepNext w:val="0"/>
        <w:keepLines w:val="0"/>
        <w:framePr w:w="2496" w:h="566" w:wrap="none" w:vAnchor="text" w:hAnchor="page" w:x="1107" w:y="4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framePr w:w="2496" w:h="566" w:wrap="none" w:vAnchor="text" w:hAnchor="page" w:x="1107" w:y="4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p>
      <w:pPr>
        <w:pStyle w:val="Style30"/>
        <w:keepNext w:val="0"/>
        <w:keepLines w:val="0"/>
        <w:framePr w:w="3504" w:h="470" w:wrap="none" w:vAnchor="text" w:hAnchor="page" w:x="51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72727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30"/>
        <w:keepNext w:val="0"/>
        <w:keepLines w:val="0"/>
        <w:framePr w:w="3504" w:h="470" w:wrap="none" w:vAnchor="text" w:hAnchor="page" w:x="51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0ОЕ96ОС66979СВВ6ЕАЕВЕ7240Е54АСЕО2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?</w:t>
      </w:r>
    </w:p>
    <w:p>
      <w:pPr>
        <w:pStyle w:val="Style30"/>
        <w:keepNext w:val="0"/>
        <w:keepLines w:val="0"/>
        <w:framePr w:w="3504" w:h="470" w:wrap="none" w:vAnchor="text" w:hAnchor="page" w:x="51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26"/>
        <w:keepNext w:val="0"/>
        <w:keepLines w:val="0"/>
        <w:framePr w:w="2717" w:h="403" w:wrap="none" w:vAnchor="text" w:hAnchor="page" w:x="5802" w:y="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0"/>
        <w:keepNext w:val="0"/>
        <w:keepLines w:val="0"/>
        <w:framePr w:w="3504" w:h="470" w:wrap="none" w:vAnchor="text" w:hAnchor="page" w:x="5168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72727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30"/>
        <w:keepNext w:val="0"/>
        <w:keepLines w:val="0"/>
        <w:framePr w:w="3504" w:h="470" w:wrap="none" w:vAnchor="text" w:hAnchor="page" w:x="5168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30"/>
        <w:keepNext w:val="0"/>
        <w:keepLines w:val="0"/>
        <w:framePr w:w="3504" w:h="470" w:wrap="none" w:vAnchor="text" w:hAnchor="page" w:x="5168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26"/>
        <w:keepNext w:val="0"/>
        <w:keepLines w:val="0"/>
        <w:framePr w:w="2717" w:h="403" w:wrap="none" w:vAnchor="text" w:hAnchor="page" w:x="5802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0"/>
        <w:keepNext w:val="0"/>
        <w:keepLines w:val="0"/>
        <w:framePr w:w="3504" w:h="470" w:wrap="none" w:vAnchor="text" w:hAnchor="page" w:x="5168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72727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30"/>
        <w:keepNext w:val="0"/>
        <w:keepLines w:val="0"/>
        <w:framePr w:w="3504" w:h="470" w:wrap="none" w:vAnchor="text" w:hAnchor="page" w:x="5168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008ВВ8В2А70668512Е203Е36ЕВЕВ804СВ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</w:t>
      </w:r>
    </w:p>
    <w:p>
      <w:pPr>
        <w:pStyle w:val="Style30"/>
        <w:keepNext w:val="0"/>
        <w:keepLines w:val="0"/>
        <w:framePr w:w="3504" w:h="470" w:wrap="none" w:vAnchor="text" w:hAnchor="page" w:x="5168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18.09.2024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по 12.12.2025</w:t>
      </w:r>
    </w:p>
    <w:p>
      <w:pPr>
        <w:pStyle w:val="Style24"/>
        <w:keepNext/>
        <w:keepLines/>
        <w:framePr w:w="1723" w:h="394" w:wrap="none" w:vAnchor="text" w:hAnchor="page" w:x="9646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А.А.Клевцова</w:t>
      </w:r>
      <w:bookmarkEnd w:id="16"/>
    </w:p>
    <w:p>
      <w:pPr>
        <w:pStyle w:val="Style24"/>
        <w:keepNext/>
        <w:keepLines/>
        <w:framePr w:w="1709" w:h="398" w:wrap="none" w:vAnchor="text" w:hAnchor="page" w:x="9661" w:y="2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18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64" w:right="532" w:bottom="869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10141585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2024-20465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2.050000000000004pt;margin-top:798.55000000000007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2024-20465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2024-20465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35000000000002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2024-20465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695960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69999999999999pt;margin-top:54.800000000000004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Друго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Подпись к таблиц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Заголовок №2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4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Другое"/>
    <w:basedOn w:val="Normal"/>
    <w:link w:val="CharStyle1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Подпись к таблиц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Вопрос: О приемке, оплате работ по контракту на подготовку проектной документации, выполнение инженерных изысканий, предусматривающему проведение госэкспертизы документации, и закупке услуг по ее проведению.(Письмо Минфина России от 21.08.2024 N 24-06-09/78817)</dc:title>
  <dc:subject/>
  <dc:creator/>
  <cp:keywords/>
</cp:coreProperties>
</file>