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90" w:right="541" w:bottom="93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88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г. Нижний Новгород, 603000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тел. (831)431-73-73,(831)431-73-83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е-таИ: 1о52@Га8.еоу.ги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ИК/18162/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Вилков Данил Романович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е^8.V^1коV@дта^1.сот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казённое учреждение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Нижегородской области "Нижегородстройзаказчик"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603134, город Нижний Новгород, улица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Костина, дом 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ш8-пп@Ьк.ш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«Фабрикант»</w:t>
      </w:r>
      <w:bookmarkEnd w:id="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123112, город Москва, улица Тестовская, дом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10, этаж 25, помещение 1, комната 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800" w:bottom="2168" w:left="1140" w:header="0" w:footer="3" w:gutter="0"/>
          <w:cols w:num="2" w:space="57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рГо@е!рх.ш, тГо@ГаЬпкап1.ш</w:t>
      </w:r>
    </w:p>
    <w:p>
      <w:pPr>
        <w:widowControl w:val="0"/>
        <w:spacing w:line="13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35" w:right="0" w:bottom="16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</w:t>
        <w:br/>
        <w:t>№052/06/105-2371/2024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№052/06/105-2371/2024</w:t>
      </w:r>
      <w:bookmarkEnd w:id="10"/>
    </w:p>
    <w:p>
      <w:pPr>
        <w:pStyle w:val="Style14"/>
        <w:keepNext w:val="0"/>
        <w:keepLines w:val="0"/>
        <w:widowControl w:val="0"/>
        <w:shd w:val="clear" w:color="auto" w:fill="auto"/>
        <w:tabs>
          <w:tab w:pos="7637" w:val="left"/>
        </w:tabs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25 сентября 2024 года</w:t>
        <w:tab/>
        <w:t>город Нижний Новгород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030"/>
        <w:gridCol w:w="8208"/>
      </w:tblGrid>
      <w:tr>
        <w:trPr>
          <w:trHeight w:val="45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Канаевой И.С.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-председателя комиссии, заместителя руководителя Управления,</w:t>
            </w:r>
          </w:p>
        </w:tc>
      </w:tr>
      <w:tr>
        <w:trPr>
          <w:trHeight w:val="91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Клевцовой А.А.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начальника отдела контроля государственных и муниципальных закупок,</w:t>
            </w:r>
          </w:p>
        </w:tc>
      </w:tr>
      <w:tr>
        <w:trPr>
          <w:trHeight w:val="73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Полещука Е.М.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специалиста-эксперта отдела контроля государственных и муниципальных закупок,</w:t>
            </w: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посредством видеоконференцсвязи:</w:t>
      </w:r>
    </w:p>
    <w:p>
      <w:pPr>
        <w:widowControl w:val="0"/>
        <w:spacing w:after="27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21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Путриной В.Б.</w:t>
        <w:tab/>
        <w:t>- представителя ИП Вилков Д.Р. по доверенности (доверенность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06.09.2024)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1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Ткаченко А.Б.</w:t>
        <w:tab/>
        <w:t>- представителя ГКУ НО "Нижегородстройзаказчик" по доверенности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4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(доверенность от 20.09.2024)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рассмотрев жалобу индивидуального предпринимателя Вилкова Данилы Романовича (далее также — ИП Вилков Д.Р., индивидуальный предприниматель, заявитель) на действия Государственного казённого учреждения Нижегородской области «Нижегородстройзаказчик» (далее также — ГКУ НО "Нижегородстройзаказчик", заказчик) при определении поставщика путем проведения запроса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котировок в электронной форме на право заключения контракта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0332200065924000226,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Нижегородской области поступила жалоба заявителя на действия заказчика при проведении запроса котировок в электронной форме на право заключения контракта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0332200065924000226 (далее - запрос котировок).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действия заказчика не соответствуют требованиям положений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также - Закон о контрактной системе).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заказчика с доводами, изложенными в жалобе заявителя, не согласился, факт нарушения не признал, считает жалобу заявителя необоснованной, а требования, изложенные в ней, не подлежащими удовлетворению.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системе, пришла к следующим выводам.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17.09.2024 в единой информационной системе и на сайте электронной площадки - «Фабрикант» - размещено извещение о проведении запроса котировок в электронной форме.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- 4 300 000, 00 рублей.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заказчик неправомерно указал в проекте контракта следующие требования: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огласно п. 6.2.1 проекта Контракта в срок не позднее одного рабочего дня с момента размещения в Единой информационной системе в сфере закупок (ЕИС) протокола подведения итогов определения поставщика продавец обязан предоставить Заказчику следующие документы: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выписку из Единого государственного реестра недвижимости (ЕГРН) на указанное в заявке жилое помещение (квартиру), дата выдачи - не ранее 14 дней с момента размещений в ЕИС протокола подведения итогов определения поставщика;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копию доверенности на право осуществления всех необходимых действий на запросе котировок в электронной форме, на электронных торговых площадках, в том числе на право подавать от имени доверителя (доверителей) заявку на участие в запросе котировок в электронной форме, подписывать от имени доверителя (доверителей) все необходимые документы, совершать все действия, связанные с участием доверителя (доверителей) в запросах котировок в электронной форме на приобретение жилых помещений (квартир), в отношении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жилого помещения (квартиры), указанного в заявке, без права получения денежных средств;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расчетный счет (расчетные счета), ИНН доверителя (доверителей) для получения денежных средств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проект контракта содержит положения, обязывающие победителя запроса котировок в электронной форме предоставить указанные документы.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10.1 Контракта, Контракт вступает в силу с момента его заключения и действует до полного исполнения Сторонами своих обязательств по нему и может быть расторгнут по соглашению сторон, по решению суда, в связи с отказом стороны Контракта от его исполнения по основаниям, предусмотренным гражданским законодательствам, и в порядке, установленном Федеральным законом от 05.04.2013 № 44-ФЗ.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1 статьи 34 Закона о контрактной системе установлено, что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№44-ФЗ извещение об осуществлении закупки или приглашение, документация о закупке, заявка не предусмотрены.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статьи 425 Гражданского кодекса Российской Федерации (далее - ГК РФ) гражданско-правовой договор вступает в силу и становится обязательным для сторон с момента его заключения.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2 статьи 425 ГК РФ стороны вправе установить, что условия заключенного ими договора применяются к их отношениям, возникшим до заключения договора, если иное не установлено законом или не вытекает из существа соответствующих отношений.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Законом о контрактной системе установлено, что закупка начинается с определения поставщика (подрядчика, исполнителя) и завершается исполнением обязательств сторонами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согласно пункту 2 статьи 3 Закона определение поставщика начинается с размещения извещения об осуществлении закупки товара, работы, услуги для обеспечения государственных нужд (федеральных нужд, нужд субъекта Российской Федерации) или муниципальных нужд либо в установленных Законом случаях с направления приглашения принять участие в определении поставщика (подрядчика, исполнителя) и завершается заключением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применение положений пункта 2 статьи 425 ГК РФ не представляется возможным к отношениям, регулируемым Законом о контрактной системе, в связи с тем, что обязательственные правоотношения между заказчиком и поставщиком начинаются исключительно с момента заключения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учётом изложенного, довод жалобы заявителя является 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Комиссия Нижегородского УФАС отмечает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Лица, осуществляющие поставку товара, выполнение работы, оказание услуги по государственному (муниципальному) контракту, должны соответствовать обязательным требованиям, установленным законодательством Российской Федерации (пункт 1 части 1 статьи 31 Закона о контрактной системе).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пунктах 1 и 2 статьи 209 Гражданского кодекса Российской Федерации (далее - ГК РФ) установлено, что собственнику принадлежат права владения, пользования и распоряжения своим имуществом. Собственник вправе по своему усмотрению совершать в отношении принадлежащего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ему имущества любые действия, не противоречащие закону и иным правовым актам и не нарушающие права и охраняемые законом интересы других лиц, в том числе отчуждать свое имущество в собственность другим лицам, передавать им, оставаясь собственником, права владения, пользования и распоряжения имуществом, отдавать имущество в залог и обременять его другими способами, распоряжаться им иным образом.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пункта 1 статьи 131 ГК РФ право собственности и другие вещные права на недвижимые вещи, ограничения этих прав, их возникновение, переход и прекращение подлежат государственной регистрации в едином государственном реестре органами, осуществляющими государственную регистрацию прав на недвижимость и сделок с ней.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5 статьи 1 Федерального закона от 13.07.2015 №218-ФЗ "О государственной регистрации недвижимости" (далее - Закон о регистрации) государственная регистрация права в Едином государственном реестре недвижимости является единственным доказательством существования зарегистрированного права.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системного толкования приведенных норм права следует, что продавцом недвижимого имущества, к числу которого относятся жилые помещения, может быть только собственник данного имущества (или уполномоченное им лицо), право собственности которого зарегистрировано в установленном порядке. (Постановление Арбитражного суда Московского округа от 27.04.2024 №Ф05-7285/2024 по делу №А40-188025/2023)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Нижегородского УФАС приходит к выводу, что Заказчик вправе устанавливать требование о подтверждении участником закупки своих полномочий на распоряжение имуществом в требованиях к составу заявки на участие в закупке. В таком случае, данное требование не нарушает положения Закона о контрактной системе, а также не ограничивает круг потенциальных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смыслу части 22 статьи 99 Закона о контрактной системе при выявлении нарушений требований законодательства Российской Федерации в сфере закупок уполномоченный на осуществление контроля в сфере закупок федеральный орган исполнительной власти вправе выдать заказчику, единой комиссии,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Комиссии Нижегородского УФАС России, нарушения допущенные заказчиком в ходе проведения закупочной процедуры в данном случае могут быть устранены только путем отмены всех протоколов, составленных в ходе проведения рассматриваемой закупки, внесения изменений в извещение и проведения процедуры определения поставщика (подрядчика, исполнителя) повторно, Комиссия Нижегородского УФАС России приходит к выводу о необходимости и целесообразности выдачи соответствующего предписания.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изложенного, руководствуясь частью 8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  <w:r>
        <w:br w:type="page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индивидуального предпринимателя Вилкова Данилы Романовича о нарушении ГКУ НО «Нижегородстройзаказчик» требований законодательства Российской Федерации о контрактной системе в сфере закупок при осуществлении закупки путем проведения запроса котировок в электронной форме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0332200065924000226, 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требования части 6 статьи 31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заказчику, аукционной комиссии и оператору электронной площадки предписание об устранении допущенных нарушений.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28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дела уполномоченному должностному лицу для рассмотрения вопроса о возможности возбуждения административного производства по признакам совершения административного правонарушения.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35" w:right="527" w:bottom="1625" w:left="108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6870" distL="0" distR="0" simplePos="0" relativeHeight="125829378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139700</wp:posOffset>
                </wp:positionV>
                <wp:extent cx="1828800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899999999999999pt;margin-top:11.pt;width:144.pt;height:19.900000000000002pt;z-index:-125829375;mso-wrap-distance-left:0;mso-wrap-distance-top:11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0" distL="0" distR="1789430" simplePos="0" relativeHeight="125829380" behindDoc="0" locked="0" layoutInCell="1" allowOverlap="1">
            <wp:simplePos x="0" y="0"/>
            <wp:positionH relativeFrom="page">
              <wp:posOffset>3070225</wp:posOffset>
            </wp:positionH>
            <wp:positionV relativeFrom="paragraph">
              <wp:posOffset>176530</wp:posOffset>
            </wp:positionV>
            <wp:extent cx="389890" cy="57277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615315</wp:posOffset>
                </wp:positionV>
                <wp:extent cx="1280160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0.85000000000002pt;margin-top:48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304800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7.25pt;margin-top:24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6870" distL="0" distR="0" simplePos="0" relativeHeight="125829381" behindDoc="0" locked="0" layoutInCell="1" allowOverlap="1">
                <wp:simplePos x="0" y="0"/>
                <wp:positionH relativeFrom="page">
                  <wp:posOffset>6194425</wp:posOffset>
                </wp:positionH>
                <wp:positionV relativeFrom="paragraph">
                  <wp:posOffset>139700</wp:posOffset>
                </wp:positionV>
                <wp:extent cx="1024255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И.С. Канаева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7.75pt;margin-top:11.pt;width:80.650000000000006pt;height:19.900000000000002pt;z-index:-125829372;mso-wrap-distance-left:0;mso-wrap-distance-top:11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И.С. Канаева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F7F7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Канаева Ирина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00Е96ВС66979СВВ6ЕАЕВЕ7240Е54АСЕ02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7F7F7F"/>
          <w:spacing w:val="0"/>
          <w:w w:val="100"/>
          <w:position w:val="0"/>
          <w:shd w:val="clear" w:color="auto" w:fill="auto"/>
          <w:lang w:val="ru-RU" w:eastAsia="ru-RU" w:bidi="ru-RU"/>
        </w:rPr>
        <w:t>по 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7" w:bottom="1632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00660" distL="0" distR="0" simplePos="0" relativeHeight="125829383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899999999999999pt;margin-top:7.pt;width:105.60000000000001pt;height:19.699999999999999pt;z-index:-125829370;mso-wrap-distance-left:0;mso-wrap-distance-top:7.pt;mso-wrap-distance-right:0;mso-wrap-distance-bottom:15.8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0340" distB="0" distL="0" distR="1807210" simplePos="0" relativeHeight="125829385" behindDoc="0" locked="0" layoutInCell="1" allowOverlap="1">
            <wp:simplePos x="0" y="0"/>
            <wp:positionH relativeFrom="page">
              <wp:posOffset>3128010</wp:posOffset>
            </wp:positionH>
            <wp:positionV relativeFrom="paragraph">
              <wp:posOffset>180340</wp:posOffset>
            </wp:positionV>
            <wp:extent cx="311150" cy="35941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250190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25pt;margin-top:19.699999999999999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00660" distL="0" distR="0" simplePos="0" relativeHeight="125829386" behindDoc="0" locked="0" layoutInCell="1" allowOverlap="1">
                <wp:simplePos x="0" y="0"/>
                <wp:positionH relativeFrom="page">
                  <wp:posOffset>6123940</wp:posOffset>
                </wp:positionH>
                <wp:positionV relativeFrom="paragraph">
                  <wp:posOffset>88900</wp:posOffset>
                </wp:positionV>
                <wp:extent cx="1094105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18" w:name="bookmark1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А.А.Клевцова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2.19999999999999pt;margin-top:7.pt;width:86.150000000000006pt;height:19.699999999999999pt;z-index:-125829367;mso-wrap-distance-left:0;mso-wrap-distance-top:7.pt;mso-wrap-distance-right:0;mso-wrap-distance-bottom:15.8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18" w:name="bookmark1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А.А.Клевцова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Клевцова Анжелика Александровна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ОООЕЕВ9861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СС2С343552ОАСА885Е93799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6133465</wp:posOffset>
                </wp:positionH>
                <wp:positionV relativeFrom="paragraph">
                  <wp:posOffset>266700</wp:posOffset>
                </wp:positionV>
                <wp:extent cx="1085215" cy="250190"/>
                <wp:wrapSquare wrapText="bothSides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52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Е.М.Полещук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82.94999999999999pt;margin-top:21.pt;width:85.450000000000003pt;height:19.699999999999999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Е.М.Полещук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06.06.2024 </w:t>
      </w:r>
      <w:r>
        <w:rPr>
          <w:color w:val="7F7F7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44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3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5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Полещук Евгений Максимович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0080В8В2А70668512Е203Е36ЕВЕ0804СВ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12.12.2025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Исп.Полещук Е.М.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тел.431-73-87, вн. 052-706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7" w:bottom="1632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787400</wp:posOffset>
              </wp:positionH>
              <wp:positionV relativeFrom="page">
                <wp:posOffset>10210165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2024-20610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2.pt;margin-top:803.9500000000000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2024-20610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2024-20610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200000000000003pt;margin-top:790.35000000000002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2024-20610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3933190</wp:posOffset>
              </wp:positionH>
              <wp:positionV relativeFrom="page">
                <wp:posOffset>678815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69999999999999pt;margin-top:53.450000000000003pt;width:5.0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Заголовок №3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Заголовок №2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1"/>
      <w:szCs w:val="11"/>
      <w:u w:val="none"/>
    </w:rPr>
  </w:style>
  <w:style w:type="character" w:customStyle="1" w:styleId="CharStyle23">
    <w:name w:val="Подпись к таблиц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5">
    <w:name w:val="Другое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character" w:customStyle="1" w:styleId="CharStyle34">
    <w:name w:val="Основной текст (5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6">
    <w:name w:val="Основной текст (4)_"/>
    <w:basedOn w:val="DefaultParagraphFont"/>
    <w:link w:val="Style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1"/>
      <w:szCs w:val="11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Заголовок №3"/>
    <w:basedOn w:val="Normal"/>
    <w:link w:val="CharStyle13"/>
    <w:pPr>
      <w:widowControl w:val="0"/>
      <w:shd w:val="clear" w:color="auto" w:fill="auto"/>
      <w:spacing w:after="6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1"/>
      <w:szCs w:val="11"/>
      <w:u w:val="none"/>
    </w:rPr>
  </w:style>
  <w:style w:type="paragraph" w:customStyle="1" w:styleId="Style22">
    <w:name w:val="Подпись к таблице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4">
    <w:name w:val="Другое"/>
    <w:basedOn w:val="Normal"/>
    <w:link w:val="CharStyle25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paragraph" w:customStyle="1" w:styleId="Style33">
    <w:name w:val="Основной текст (5)"/>
    <w:basedOn w:val="Normal"/>
    <w:link w:val="CharStyle34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5">
    <w:name w:val="Основной текст (4)"/>
    <w:basedOn w:val="Normal"/>
    <w:link w:val="CharStyle36"/>
    <w:pPr>
      <w:widowControl w:val="0"/>
      <w:shd w:val="clear" w:color="auto" w:fill="auto"/>
      <w:spacing w:after="100"/>
      <w:ind w:left="449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