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90" w:right="541" w:bottom="93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8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 (831)431-73-73,(831)431-73-83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ИК/18135/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</w:t>
        <w:br/>
        <w:t>№052/06/105-2372/2024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Вилков Данил Романович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е^8.V^1коV@дта^1.сот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казённое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Нижегородской области "Нижегородстройзаказчик"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603134, город Нижний Новгород, улица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Костина, дом 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ш8-пп@Ьк.ш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«Фабрикант»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123112, город Москва, улица Тестовская, дом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10, этаж 25, помещение 1, комната 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рГо@е!рх.ш,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800" w:bottom="2110" w:left="1140" w:header="0" w:footer="3" w:gutter="0"/>
          <w:cols w:num="2" w:space="57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тГо@ГаЬпкап1.ш</w:t>
      </w: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44" w:right="0" w:bottom="16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№052/06/105-2372/2024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tabs>
          <w:tab w:pos="7637" w:val="left"/>
        </w:tabs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 сентября 2024 года</w:t>
        <w:tab/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30"/>
        <w:gridCol w:w="8208"/>
      </w:tblGrid>
      <w:tr>
        <w:trPr>
          <w:trHeight w:val="45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Канаевой И.С.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-председателя комиссии, заместителя руководителя Управления,</w:t>
            </w:r>
          </w:p>
        </w:tc>
      </w:tr>
      <w:tr>
        <w:trPr>
          <w:trHeight w:val="91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Клевцовой А.А.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начальника отдела контроля государственных и муниципальных закупок,</w:t>
            </w:r>
          </w:p>
        </w:tc>
      </w:tr>
      <w:tr>
        <w:trPr>
          <w:trHeight w:val="73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Полещука Е.М.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специалиста-эксперта отдела контроля государственных и муниципальных закупок,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видеоконференцсвязи:</w:t>
      </w:r>
    </w:p>
    <w:p>
      <w:pPr>
        <w:widowControl w:val="0"/>
        <w:spacing w:after="27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tabs>
          <w:tab w:pos="21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Путриной В.Б.</w:t>
        <w:tab/>
        <w:t>- представителя ИП Вилков Д.Р. по доверенности (доверенность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06.09.2024)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21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Ткаченко А.Б.</w:t>
        <w:tab/>
        <w:t>- представителя ГКУ НО "Нижегородстройзаказчик" по доверенности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4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(доверенность от 20.09.2024)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жалобу индивидуального предпринимателя Вилкова Данилы Романовича (далее также — ИП Вилков Д.Р., индивидуальный предприниматель, заявитель) на действия Государственного казённого учреждения Нижегородской области «Нижегородстройзаказчик» (далее также — ГКУ НО "Нижегородстройзаказчик", заказчик) при определении поставщика путем проведения запроса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0332200065924000225,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Нижегородской области поступила жалоба заявителя на действия заказчика при проведении запроса 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0332200065924000225 (далее - запрос котировок).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действия заказчика не соответствуют требованиям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с доводами, изложенными в жалобе заявителя, не согласился, факт нарушения не признал, считает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17.09.2024 в единой информационной системе и на сайте электронной площадки - «Фабрикант» - размещено извещение о проведении запроса котировок в электронной форме.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- 4 300 000, 00 рублей.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заказчик неправомерно указал в проекте контракта следующие требования: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огласно п. 6.2.1 проекта Контракта в срок не позднее одного рабочего дня с момента размещения в Единой информационной системе в сфере закупок (ЕИС) протокола подведения итогов определения поставщика продавец обязан предоставить Заказчику следующие документы: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выписку из Единого государственного реестра недвижимости (ЕГРН) на указанное в заявке жилое помещение (квартиру), дата выдачи - не ранее 14 дней с момента размещений в ЕИС протокола подведения итогов определения поставщика;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копию доверенности на право осуществления всех необходимых действий на запросе котировок в электронной форме, на электронных торговых площадках, в том числе на право подавать от имени доверителя (доверителей) заявку на участие в запросе котировок в электронной форме, подписывать от имени доверителя (доверителей) все необходимые документы, совершать все действия, связанные с участием доверителя (доверителей) в запросах котировок в электронной форме на приобретение жилых помещений (квартир), в отношении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жилого помещения (квартиры), указанного в заявке, без права получения денежных средств;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расчетный счет (расчетные счета), ИНН доверителя (доверителей) для получения денежных средств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проект контракта содержит положения, обязывающие победителя запроса котировок в электронной форме предоставить указанные документы.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10.1 Контракта, Контракт вступает в силу с момента его заключения и действует до полного исполнения Сторонами своих обязательств по нему и может быть расторгнут по соглашению сторон, по решению суда, в связи с отказом стороны Контракта от его исполнения по основаниям, предусмотренным гражданским законодательствам, и в порядке, установленном Федеральным законом от 05.04.2013 № 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1 статьи 34 Закона о контрактной системе установлено, что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№44-ФЗ извещение об осуществлении закупки или приглашение, документация о закупке, заявка не предусмотрены.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статьи 425 Гражданского кодекса Российской Федерации (далее - ГК РФ) гражданско-правовой договор вступает в силу и становится обязательным для сторон с момента его заключения.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статьи 425 ГК РФ стороны вправе установить, что условия заключенного ими договора применяются к их отношениям, возникшим до заключения договора, если иное не установлено законом или не вытекает из существа соответствующих отношений.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Законом о контрактной системе установлено, что закупка начинается с определения поставщика (подрядчика, исполнителя) и завершается исполнением обязательств сторонами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согласно пункту 2 статьи 3 Закона определение поставщика начинается с размещения извещения об осуществлении закупки товара, работы, услуги для обеспечения государственных нужд (федеральных нужд, нужд субъекта Российской Федерации) или муниципальных нужд либо в установленных Законом случаях с направления приглашения принять участие в определении поставщика (подрядчика, исполнителя) и завершается заключением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применение положений пункта 2 статьи 425 ГК РФ не представляется возможным к отношениям, регулируемым Законом о контрактной системе, в связи с тем, что обязательственные правоотношения между заказчиком и поставщиком начинаются исключительно с момента заключения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учётом изложенного, довод жалобы заявителя является 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Нижегородского УФАС отмечает следующее: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Лица, осуществляющие поставку товара, выполнение работы, оказание услуги по государственному (муниципальному) контракту, должны соответствовать обязательным требованиям, установленным законодательством Российской Федерации (пункт 1 части 1 статьи 31 Закона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пунктах 1 и 2 статьи 209 Гражданского кодекса Российской Федерации (далее - ГК РФ) установлено, что собственнику принадлежат права владения, пользования и распоряжения своим имуществом. Собственник вправе по своему усмотрению совершать в отношении принадлежащего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ему имущества любые действия, не противоречащие закону и иным правовым актам и не нарушающие права и охраняемые законом интересы других лиц, в том числе отчуждать свое имущество в собственность другим лицам, передавать им, оставаясь собственником, права владения, пользования и распоряжения имуществом, отдавать имущество в залог и обременять его другими способами, распоряжаться им иным образом.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пункта 1 статьи 131 ГК РФ право собственности и другие вещные права на недвижимые вещи, ограничения этих прав, их возникновение, переход и прекращение подлежат государственной регистрации в едином государственном реестре органами, осуществляющими государственную регистрацию прав на недвижимость и сделок с ней.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5 статьи 1 Федерального закона от 13.07.2015 №218-ФЗ "О государственной регистрации недвижимости" (далее - Закон о регистрации) государственная регистрация права в Едином государственном реестре недвижимости является единственным доказательством существования зарегистрированного права.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системного толкования приведенных норм права следует, что продавцом недвижимого имущества, к числу которого относятся жилые помещения, может быть только собственник данного имущества (или уполномоченное им лицо), право собственности которого зарегистрировано в установленном порядке. (Постановление Арбитражного суда Московского округа от 27.04.2024 №Ф05-7285/2024 по делу №А40-188025/2023)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Нижегородского УФАС приходит к выводу, что Заказчик вправе устанавливать требование о подтверждении участником закупки своих полномочий на распоряжение имуществом в требованиях к составу заявки на участие в закупке. В таком случае, данное требование не нарушает положения Закона о контрактной системе, а также не ограничивает круг потенциальных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смыслу части 22 статьи 99 Закона о контрактной системе при выявлении нарушений требований законодательства Российской Федерации в сфере закупок уполномоченный на осуществление контроля в сфере закупок федеральный орган исполнительной власти вправе выдать заказчику, единой комиссии,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Комиссии Нижегородского УФАС России, нарушения допущенные заказчиком в ходе проведения закупочной процедуры в данном случае могут быть устранены только путем отмены всех протоколов, составленных в ходе проведения рассматриваемой закупки, внесения изменений в извещение и проведения процедуры определения поставщика (подрядчика, исполнителя) повторно, Комиссия Нижегородского УФАС России приходит к выводу о необходимости и целесообразности выдачи соответствующего предписания.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руководствуясь частью 8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  <w:r>
        <w:br w:type="page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Вилкова Данилы Романовича о нарушении ГКУ НО «Нижегородстройзаказчик» требований законодательства Российской Федерации о контрактной системе в сфере закупок при осуществлении закупки путем проведения запроса котировок в электронной форме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0332200065924000225,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требования части 6 статьи 31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заказчику, котировочной комиссии и оператору электронной площадки предписание об устранении допущенных нарушений.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28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дела уполномоченному должностному лицу для рассмотрения вопроса о возможности возбуждения административного производства по признакам совершения административного правонарушения.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44" w:right="527" w:bottom="1617" w:left="108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201295" distL="0" distR="0" simplePos="0" relativeHeight="125829378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342900</wp:posOffset>
                </wp:positionV>
                <wp:extent cx="1828800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850000000000001pt;margin-top:27.pt;width:144.pt;height:19.900000000000002pt;z-index:-125829375;mso-wrap-distance-left:0;mso-wrap-distance-top:27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4340" distB="0" distL="0" distR="1804670" simplePos="0" relativeHeight="125829380" behindDoc="0" locked="0" layoutInCell="1" allowOverlap="1">
            <wp:simplePos x="0" y="0"/>
            <wp:positionH relativeFrom="page">
              <wp:posOffset>3133725</wp:posOffset>
            </wp:positionH>
            <wp:positionV relativeFrom="paragraph">
              <wp:posOffset>434340</wp:posOffset>
            </wp:positionV>
            <wp:extent cx="311150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507365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7.69999999999999pt;margin-top:39.95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201295" distL="0" distR="0" simplePos="0" relativeHeight="125829381" behindDoc="0" locked="0" layoutInCell="1" allowOverlap="1">
                <wp:simplePos x="0" y="0"/>
                <wp:positionH relativeFrom="page">
                  <wp:posOffset>6193790</wp:posOffset>
                </wp:positionH>
                <wp:positionV relativeFrom="paragraph">
                  <wp:posOffset>342900</wp:posOffset>
                </wp:positionV>
                <wp:extent cx="1024255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Канаева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7.69999999999999pt;margin-top:27.pt;width:80.650000000000006pt;height:19.900000000000002pt;z-index:-125829372;mso-wrap-distance-left:0;mso-wrap-distance-top:27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Канаева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Канаева Ирина Сергеевна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00Е96ОС66979СБВ6ЕАЕВЕ7249Е54АСЕ02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}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11.07.2024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589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235" distL="0" distR="0" simplePos="0" relativeHeight="125829383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850000000000001pt;margin-top:7.pt;width:105.60000000000001pt;height:19.699999999999999pt;z-index:-125829370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5" behindDoc="0" locked="0" layoutInCell="1" allowOverlap="1">
            <wp:simplePos x="0" y="0"/>
            <wp:positionH relativeFrom="page">
              <wp:posOffset>3112135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561340</wp:posOffset>
                </wp:positionV>
                <wp:extent cx="128651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05000000000001pt;margin-top:44.200000000000003pt;width:101.3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250190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69999999999999pt;margin-top:19.69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235" distL="0" distR="0" simplePos="0" relativeHeight="125829386" behindDoc="0" locked="0" layoutInCell="1" allowOverlap="1">
                <wp:simplePos x="0" y="0"/>
                <wp:positionH relativeFrom="page">
                  <wp:posOffset>6123305</wp:posOffset>
                </wp:positionH>
                <wp:positionV relativeFrom="paragraph">
                  <wp:posOffset>88900</wp:posOffset>
                </wp:positionV>
                <wp:extent cx="109410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18" w:name="bookmark1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А.А.Клевцова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2.15000000000003pt;margin-top:7.pt;width:86.150000000000006pt;height:19.699999999999999pt;z-index:-125829367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18" w:name="bookmark1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А.А.Клевцова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00ОЕЕВ9861СС2С343552ОАСА885Е93799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3112135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05000000000001pt;margin-top:36.700000000000003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69999999999999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Е.М.Полещук</w:t>
      </w:r>
      <w:bookmarkEnd w:id="20"/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Полещук Евгений Максимович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0080В8В2А70668512Е2СЗЕ36ЕВЕ0804СВ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18.09.2024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>по 12.12.2025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Исп.Полещук Е.М.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589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788035</wp:posOffset>
              </wp:positionH>
              <wp:positionV relativeFrom="page">
                <wp:posOffset>10187940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2024-20616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2.050000000000004pt;margin-top:802.2000000000000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2024-20616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2024-20616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90.35000000000002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2024-20616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3933190</wp:posOffset>
              </wp:positionH>
              <wp:positionV relativeFrom="page">
                <wp:posOffset>684530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69999999999999pt;margin-top:53.899999999999999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Заголовок №3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Заголовок №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2">
    <w:name w:val="Подпись к таблиц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AEAEA"/>
      <w:sz w:val="11"/>
      <w:szCs w:val="11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4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Заголовок №3"/>
    <w:basedOn w:val="Normal"/>
    <w:link w:val="CharStyle15"/>
    <w:pPr>
      <w:widowControl w:val="0"/>
      <w:shd w:val="clear" w:color="auto" w:fill="auto"/>
      <w:spacing w:after="6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1">
    <w:name w:val="Подпись к таблице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100"/>
      <w:ind w:left="45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AEAEA"/>
      <w:sz w:val="11"/>
      <w:szCs w:val="11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