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after="685" w:line="1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1842135</wp:posOffset>
            </wp:positionH>
            <wp:positionV relativeFrom="margin">
              <wp:posOffset>0</wp:posOffset>
            </wp:positionV>
            <wp:extent cx="402590" cy="43878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402590" cy="43878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1" w:lineRule="exact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390" w:right="536" w:bottom="933" w:left="1106" w:header="0" w:footer="3" w:gutter="0"/>
          <w:pgNumType w:start="1"/>
          <w:cols w:space="720"/>
          <w:noEndnote/>
          <w:titlePg/>
          <w:rtlGutter w:val="0"/>
          <w:docGrid w:linePitch="360"/>
        </w:sectPr>
      </w:pP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Федеральной антимонопольной службы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/>
        <w:ind w:left="0" w:right="0" w:firstLine="84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Нижегородской области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пл. Горького, 6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84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г. Нижний Новгород, 603000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280"/>
        <w:jc w:val="both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>тел. (831)431-73-73,(831)431-73-83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80"/>
        <w:ind w:left="0" w:right="0" w:firstLine="0"/>
        <w:jc w:val="center"/>
      </w:pPr>
      <w:r>
        <w:rPr>
          <w:b w:val="0"/>
          <w:bCs w:val="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е-таИ: 1о52@Га8.еоу.ги</w:t>
      </w:r>
    </w:p>
    <w:p>
      <w:pPr>
        <w:pStyle w:val="Style9"/>
        <w:keepNext/>
        <w:keepLines/>
        <w:widowControl w:val="0"/>
        <w:shd w:val="clear" w:color="auto" w:fill="auto"/>
        <w:tabs>
          <w:tab w:pos="1838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3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0.09.2024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ab/>
      </w:r>
      <w:r>
        <w:fldChar w:fldCharType="end"/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 xml:space="preserve">№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ИК/18134/</w:t>
      </w:r>
      <w:r>
        <w:rPr>
          <w:color w:val="000000"/>
          <w:spacing w:val="0"/>
          <w:w w:val="100"/>
          <w:position w:val="0"/>
          <w:u w:val="none"/>
          <w:shd w:val="clear" w:color="auto" w:fill="auto"/>
          <w:lang w:val="ru-RU" w:eastAsia="ru-RU" w:bidi="ru-RU"/>
        </w:rPr>
        <w:t>24</w:t>
      </w:r>
      <w:bookmarkEnd w:id="0"/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620"/>
        <w:ind w:left="0" w:right="0" w:firstLine="0"/>
        <w:jc w:val="left"/>
      </w:pPr>
      <w:r>
        <w:rPr>
          <w:b w:val="0"/>
          <w:bCs w:val="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 по делу</w:t>
        <w:br/>
        <w:t>№052/06/105-2374/2024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2" w:name="bookmark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ИП Вилков Данил Романович</w:t>
      </w:r>
      <w:bookmarkEnd w:id="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е^8.V^1коV@дта^1.сот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Государственное казённое учреждение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Нижегородской области "Нижегородстройзаказчик"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603134, город Нижний Новгород, улица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Костина, дом 2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ш8-пп@Ьк.ш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4" w:name="bookmark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ЭТП «Фабрикант»</w:t>
      </w:r>
      <w:bookmarkEnd w:id="4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123112, город Москва, улица Тестовская, дом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10, этаж 25, помещение 1, комната 1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рГо@е!рх.ш,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390" w:right="800" w:bottom="2388" w:left="1140" w:header="0" w:footer="3" w:gutter="0"/>
          <w:cols w:num="2" w:space="571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тГо@ГаЬпкап1.ш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center"/>
      </w:pPr>
      <w:bookmarkStart w:id="10" w:name="bookmark10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РЕШЕНИЕ</w:t>
        <w:br/>
        <w:t>№052/06/105-2374/2024</w:t>
      </w:r>
      <w:bookmarkEnd w:id="10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right"/>
      </w:pPr>
      <w:r>
        <mc:AlternateContent>
          <mc:Choice Requires="wps">
            <w:drawing>
              <wp:anchor distT="0" distB="0" distL="114300" distR="114300" simplePos="0" relativeHeight="125829378" behindDoc="0" locked="0" layoutInCell="1" allowOverlap="1">
                <wp:simplePos x="0" y="0"/>
                <wp:positionH relativeFrom="page">
                  <wp:posOffset>705485</wp:posOffset>
                </wp:positionH>
                <wp:positionV relativeFrom="paragraph">
                  <wp:posOffset>12700</wp:posOffset>
                </wp:positionV>
                <wp:extent cx="1456690" cy="216535"/>
                <wp:wrapSquare wrapText="right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456690" cy="21653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25 сентября 2024 года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55.550000000000004pt;margin-top:1.pt;width:114.7pt;height:17.050000000000001pt;z-index:-125829375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25 сентября 2024 года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город Нижний Новгород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320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 в составе:</w:t>
      </w:r>
    </w:p>
    <w:tbl>
      <w:tblPr>
        <w:tblOverlap w:val="never"/>
        <w:jc w:val="center"/>
        <w:tblLayout w:type="fixed"/>
      </w:tblPr>
      <w:tblGrid>
        <w:gridCol w:w="2030"/>
        <w:gridCol w:w="8208"/>
      </w:tblGrid>
      <w:tr>
        <w:trPr>
          <w:trHeight w:val="451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Канаевой И.С.</w:t>
            </w:r>
          </w:p>
        </w:tc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24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-председателя комиссии, заместителя руководителя Управления,</w:t>
            </w:r>
          </w:p>
        </w:tc>
      </w:tr>
      <w:tr>
        <w:trPr>
          <w:trHeight w:val="912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8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Клевцовой А.А.</w:t>
            </w:r>
          </w:p>
        </w:tc>
        <w:tc>
          <w:tcPr>
            <w:tcBorders/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начальника отдела контроля государственных и муниципальных закупок,</w:t>
            </w:r>
          </w:p>
        </w:tc>
      </w:tr>
      <w:tr>
        <w:trPr>
          <w:trHeight w:val="730" w:hRule="exact"/>
        </w:trPr>
        <w:tc>
          <w:tcPr>
            <w:tcBorders/>
            <w:shd w:val="clear" w:color="auto" w:fill="auto"/>
            <w:vAlign w:val="center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Полещука Е.М.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360" w:right="0" w:hanging="12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-члена комиссии, специалиста-эксперта отдела контроля государственных и муниципальных закупок,</w:t>
            </w:r>
          </w:p>
        </w:tc>
      </w:tr>
    </w:tbl>
    <w:p>
      <w:pPr>
        <w:widowControl w:val="0"/>
        <w:spacing w:after="319" w:line="1" w:lineRule="exact"/>
      </w:pPr>
    </w:p>
    <w:p>
      <w:pPr>
        <w:widowControl w:val="0"/>
        <w:spacing w:line="1" w:lineRule="exact"/>
      </w:pPr>
    </w:p>
    <w:p>
      <w:pPr>
        <w:pStyle w:val="Style24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участии посредством видеоконференцсвязи:</w:t>
      </w:r>
    </w:p>
    <w:tbl>
      <w:tblPr>
        <w:tblOverlap w:val="never"/>
        <w:jc w:val="center"/>
        <w:tblLayout w:type="fixed"/>
      </w:tblPr>
      <w:tblGrid>
        <w:gridCol w:w="1963"/>
        <w:gridCol w:w="8285"/>
      </w:tblGrid>
      <w:tr>
        <w:trPr>
          <w:trHeight w:val="590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Путриной В.Б.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71" w:lineRule="auto"/>
              <w:ind w:left="420" w:right="0" w:hanging="1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-представителя ИП Вилков Д.Р. по доверенности (доверенность от 06.09.2024)</w:t>
            </w:r>
          </w:p>
        </w:tc>
      </w:tr>
      <w:tr>
        <w:trPr>
          <w:trHeight w:val="595" w:hRule="exact"/>
        </w:trPr>
        <w:tc>
          <w:tcPr>
            <w:tcBorders/>
            <w:shd w:val="clear" w:color="auto" w:fill="auto"/>
            <w:vAlign w:val="top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 w:line="240" w:lineRule="auto"/>
              <w:ind w:left="0" w:right="0" w:firstLine="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 Ткаченко А.Б.</w:t>
            </w:r>
          </w:p>
        </w:tc>
        <w:tc>
          <w:tcPr>
            <w:tcBorders/>
            <w:shd w:val="clear" w:color="auto" w:fill="auto"/>
            <w:vAlign w:val="bottom"/>
          </w:tcPr>
          <w:p>
            <w:pPr>
              <w:pStyle w:val="Style22"/>
              <w:keepNext w:val="0"/>
              <w:keepLines w:val="0"/>
              <w:widowControl w:val="0"/>
              <w:shd w:val="clear" w:color="auto" w:fill="auto"/>
              <w:bidi w:val="0"/>
              <w:spacing w:before="0" w:after="0"/>
              <w:ind w:left="420" w:right="0" w:hanging="100"/>
              <w:jc w:val="left"/>
            </w:pPr>
            <w:r>
              <w:rPr>
                <w:color w:val="000000"/>
                <w:spacing w:val="0"/>
                <w:w w:val="100"/>
                <w:position w:val="0"/>
                <w:sz w:val="24"/>
                <w:szCs w:val="24"/>
                <w:shd w:val="clear" w:color="auto" w:fill="auto"/>
                <w:lang w:val="ru-RU" w:eastAsia="ru-RU" w:bidi="ru-RU"/>
              </w:rPr>
              <w:t>-представителя ГКУ НО "Нижегородстройзаказчик" по доверенности (доверенность от 20.09.2024)</w:t>
            </w:r>
          </w:p>
        </w:tc>
      </w:tr>
    </w:tbl>
    <w:p>
      <w:pPr>
        <w:widowControl w:val="0"/>
        <w:spacing w:after="239" w:line="1" w:lineRule="exact"/>
      </w:pP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рассмотрев жалобу индивидуального предпринимателя Вилкова Данилы Романовича (далее также — ИП Вилков Д.Р., индивидуальный предприниматель, заявитель) на действия Государственного казённого учреждения Нижегородской области «Нижегородстройзаказчик» (далее также — ГКУ НО "Нижегородстройзаказчик", заказчик) при определении поставщика путем проведения запроса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0332200065924000223,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2" w:name="bookmark12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установила:</w:t>
      </w:r>
      <w:bookmarkEnd w:id="12"/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Управление Федеральной антимонопольной службы по Нижегородской области поступила жалоба заявителя на действия заказчика при проведении запроса котировок в электронной форме на право заключения контракта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0332200065924000223 (далее - запрос котировок).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действия заказчика не соответствуют требованиям положений Федерального закона от 05.04.2013 №44-ФЗ «О контрактной системе в сфере закупок товаров, работ, услуг для обеспечения государственных и муниципальных нужд» (далее также - Закон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Представитель заказчика с доводами, изложенными в жалобе заявителя, не согласился, факт нарушения не признал, считает жалобу заявителя необоснованной, а требования, изложенные в ней, не подлежащими удовлетворению.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Комиссия Управления Федеральной антимонопольной службы по Нижегородской области по контролю в сфере закупок, выслушав доводы лиц, участвующих в рассмотрении жалобы, исследовав их в совокупности с имеющимися в деле материалами и осуществив внеплановую проверку рассматриваемой закупки в соответствии с требованиями части 15 статьи 99 Закона о контрактной системе, пришла к следующим выводам.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17.09.2024 в единой информационной системе и на сайте электронной площадки - «Фабрикант» - размещено извещение о проведении запроса котировок в электронной форме.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Начальная (максимальная) цена контракта - 4 300 000, 00 рублей.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заявителя, заказчик неправомерно указал в проекте контракта следующие требования: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23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огласно п. 6.2.1 проекта Контракта в срок не позднее одного рабочего дня с момента размещения в Единой информационной системе в сфере закупок (ЕИС) протокола подведения итогов определения поставщика продавец обязан предоставить Заказчику следующие документы: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выписку из Единого государственного реестра недвижимости (ЕГРН) на указанное в заявке жилое помещение (квартиру), дата выдачи - не ранее 14 дней с момента размещений в ЕИС протокола подведения итогов определения поставщика;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62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копию доверенности на право осуществления всех необходимых действий на запросе котировок в электронной форме, на электронных торговых площадках, в том числе на право подавать от имени доверителя (доверителей) заявку на участие в запросе котировок в электронной форме, подписывать от имени доверителя (доверителей) все необходимые документы, совершать все действия, связанные с участием доверителя (доверителей) в запросах котировок в электронной форме на приобретение жилых помещений (квартир), в отношении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жилого помещения (квартиры), указанного в заявке, без права получения денежных средств;</w:t>
      </w:r>
    </w:p>
    <w:p>
      <w:pPr>
        <w:pStyle w:val="Style1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936" w:val="left"/>
        </w:tabs>
        <w:bidi w:val="0"/>
        <w:spacing w:before="0" w:after="0"/>
        <w:ind w:left="0" w:right="0" w:firstLine="56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расчетный счет (расчетные счета), ИНН доверителя (доверителей) для получения денежных средств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».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проект контракта содержит положения, обязывающие победителя запроса котировок в электронной форме предоставить указанные документы.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10.1 Контракта, Контракт вступает в силу с момента его заключения и действует до полного исполнения Сторонами своих обязательств по нему и может быть расторгнут по соглашению сторон, по решению суда, в связи с отказом стороны Контракта от его исполнения по основаниям, предусмотренным гражданским законодательствам, и в порядке, установленном Федеральным законом от 05.04.2013 № 44-ФЗ.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Частью 1 статьи 34 Закона о контрактной системе установлено, что контракт заключается на условиях, предусмотренных извещением об осуществлении закупки или приглашением, документацией о закупке, заявкой участника закупки, с которым заключается контракт, за исключением случаев, в которых в соответствии с Законом №44-ФЗ извещение об осуществлении закупки или приглашение, документация о закупке, заявка не предусмотрены.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1 статьи 425 Гражданского кодекса Российской Федерации (далее - ГК РФ) гражданско-правовой договор вступает в силу и становится обязательным для сторон с момента его заключения.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пунктом 2 статьи 425 ГК РФ стороны вправе установить, что условия заключенного ими договора применяются к их отношениям, возникшим до заключения договора, если иное не установлено законом или не вытекает из существа соответствующих отношений.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Законом о контрактной системе установлено, что закупка начинается с определения поставщика (подрядчика, исполнителя) и завершается исполнением обязательств сторонами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 этом согласно пункту 2 статьи 3 Закона определение поставщика начинается с размещения извещения об осуществлении закупки товара, работы, услуги для обеспечения государственных нужд (федеральных нужд, нужд субъекта Российской Федерации) или муниципальных нужд либо в установленных Законом случаях с направления приглашения принять участие в определении поставщика (подрядчика, исполнителя) и завершается заключением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применение положений пункта 2 статьи 425 ГК РФ не представляется возможным к отношениям, регулируемым Законом о контрактной системе, в связи с тем, что обязательственные правоотношения между заказчиком и поставщиком начинаются исключительно с момента заключения контракта.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учётом изложенного, довод жалобы заявителя является обоснованным.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Вместе с тем, Комиссия Нижегородского УФАС отмечает следующее: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Лица, осуществляющие поставку товара, выполнение работы, оказание услуги по государственному (муниципальному) контракту, должны соответствовать обязательным требованиям, установленным законодательством Российской Федерации (пункт 1 части 1 статьи 31 Закона о контрактной системе).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6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 xml:space="preserve">В пунктах 1 и 2 статьи 209 Гражданского кодекса Российской Федерации (далее - ГК РФ) установлено, что собственнику принадлежат права владения, пользования и распоряжения своим имуществом. Собственник вправе по своему усмотрению совершать в отношении принадлежащего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ему имущества любые действия, не противоречащие закону и иным правовым актам и не нарушающие права и охраняемые законом интересы других лиц, в том числе отчуждать свое имущество в собственность другим лицам, передавать им, оставаясь собственником, права владения, пользования и распоряжения имуществом, отдавать имущество в залог и обременять его другими способами, распоряжаться им иным образом.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На основании пункта 1 статьи 131 ГК РФ право собственности и другие вещные права на недвижимые вещи, ограничения этих прав, их возникновение, переход и прекращение подлежат государственной регистрации в едином государственном реестре органами, осуществляющими государственную регистрацию прав на недвижимость и сделок с ней.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Согласно части 5 статьи 1 Федерального закона от 13.07.2015 №218-ФЗ "О государственной регистрации недвижимости" (далее - Закон о регистрации) государственная регистрация права в Едином государственном реестре недвижимости является единственным доказательством существования зарегистрированного права.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Из системного толкования приведенных норм права следует, что продавцом недвижимого имущества, к числу которого относятся жилые помещения, может быть только собственник данного имущества (или уполномоченное им лицо), право собственности которого зарегистрировано в установленном порядке. (Постановление Арбитражного суда Московского округа от 27.04.2024 №Ф05-7285/2024 по делу №А40-188025/2023)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Таким образом, Комиссия Нижегородского УФАС приходит к выводу, что Заказчик вправе устанавливать требование о подтверждении участником закупки своих полномочий на распоряжение имуществом в требованиях к составу заявки на участие в закупке. В таком случае, данное требование не нарушает положения Закона о контрактной системе, а также не ограничивает круг потенциальных участников закупки.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смыслу части 22 статьи 99 Закона о контрактной системе при выявлении нарушений требований законодательства Российской Федерации в сфере закупок уполномоченный на осуществление контроля в сфере закупок федеральный орган исполнительной власти вправе выдать заказчику, единой комиссии, оператору электронной площадки обязательное для исполнения предписание об устранении допущенных нарушений в соответствии с законодательством Российской Федерации.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По мнению Комиссии Нижегородского УФАС России, нарушения допущенные заказчиком в ходе проведения закупочной процедуры в данном случае могут быть устранены только путем отмены всех протоколов, составленных в ходе проведения рассматриваемой закупки, внесения изменений в извещение и проведения процедуры определения поставщика (подрядчика, исполнителя) повторно, Комиссия Нижегородского УФАС России приходит к выводу о необходимости и целесообразности выдачи соответствующего предписания.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58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С учетом изложенного, руководствуясь частью 8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Комиссия Управления Федеральной антимонопольной службы по Нижегородской области по контролю в сфере закупок,</w:t>
      </w:r>
      <w:r>
        <w:br w:type="page"/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bookmarkStart w:id="14" w:name="bookmark14"/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решила:</w:t>
      </w:r>
      <w:bookmarkEnd w:id="14"/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жалобу индивидуального предпринимателя Вилкова Данилы Романовича о нарушении ГКУ НО «Нижегородстройзаказчик» требований законодательства Российской Федерации о контрактной системе в сфере закупок при осуществлении закупки путем проведения запроса котировок в электронной форме по объекту закупки: «Жилое помещение (квартира) в многоквартирном жилом доме на вторичном рынке на территории г.Нижнего Новгорода для обеспечения детей-сирот и детей, оставшихся без попечения родителей, а также лиц из числа детей-сирот и детей, оставшихся без попечения родителей», номер извещения 0332200065924000223, обоснованной.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Признать заказчика нарушившим требования части 6 статьи 31 Закона о контрактной системе.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Выдать заказчику, котировочной комиссии и оператору электронной площадки предписание об устранении допущенных нарушений.</w:t>
      </w:r>
    </w:p>
    <w:p>
      <w:pPr>
        <w:pStyle w:val="Style1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893" w:val="left"/>
        </w:tabs>
        <w:bidi w:val="0"/>
        <w:spacing w:before="0" w:after="280"/>
        <w:ind w:left="0" w:right="0" w:firstLine="60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Передать материалы дела уполномоченному должностному лицу для рассмотрения вопроса о возможности возбуждения административного производства по признакам совершения административного правонарушения.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600"/>
        <w:jc w:val="both"/>
      </w:pP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В соответствии с частью 9 статьи 106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настоящее решение может быть обжаловано в судебном порядке в течение трех месяцев со дня его принятия.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35" w:right="526" w:bottom="1625" w:left="108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39700" distB="356870" distL="0" distR="0" simplePos="0" relativeHeight="125829380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139700</wp:posOffset>
                </wp:positionV>
                <wp:extent cx="182880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880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6" w:name="bookmark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 комиссии</w:t>
                            </w:r>
                            <w:bookmarkEnd w:id="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850000000000001pt;margin-top:11.pt;width:144.pt;height:19.900000000000002pt;z-index:-125829373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6" w:name="bookmark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 комиссии</w:t>
                      </w:r>
                      <w:bookmarkEnd w:id="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76530" distB="0" distL="0" distR="1789430" simplePos="0" relativeHeight="125829382" behindDoc="0" locked="0" layoutInCell="1" allowOverlap="1">
            <wp:simplePos x="0" y="0"/>
            <wp:positionH relativeFrom="page">
              <wp:posOffset>3017520</wp:posOffset>
            </wp:positionH>
            <wp:positionV relativeFrom="paragraph">
              <wp:posOffset>176530</wp:posOffset>
            </wp:positionV>
            <wp:extent cx="389890" cy="572770"/>
            <wp:wrapTopAndBottom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3514090</wp:posOffset>
                </wp:positionH>
                <wp:positionV relativeFrom="paragraph">
                  <wp:posOffset>615315</wp:posOffset>
                </wp:positionV>
                <wp:extent cx="1276985" cy="100330"/>
                <wp:wrapNone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276.69999999999999pt;margin-top:48.450000000000003pt;width:100.5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3468370</wp:posOffset>
                </wp:positionH>
                <wp:positionV relativeFrom="paragraph">
                  <wp:posOffset>304800</wp:posOffset>
                </wp:positionV>
                <wp:extent cx="1725295" cy="255905"/>
                <wp:wrapNone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273.10000000000002pt;margin-top:24.pt;width:135.84999999999999pt;height:20.15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139700" distB="356870" distL="0" distR="0" simplePos="0" relativeHeight="125829383" behindDoc="0" locked="0" layoutInCell="1" allowOverlap="1">
                <wp:simplePos x="0" y="0"/>
                <wp:positionH relativeFrom="page">
                  <wp:posOffset>6193790</wp:posOffset>
                </wp:positionH>
                <wp:positionV relativeFrom="paragraph">
                  <wp:posOffset>139700</wp:posOffset>
                </wp:positionV>
                <wp:extent cx="1024255" cy="252730"/>
                <wp:wrapTopAndBottom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425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bookmarkStart w:id="8" w:name="bookmark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И.С. Канаева</w:t>
                            </w:r>
                            <w:bookmarkEnd w:id="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487.69999999999999pt;margin-top:11.pt;width:80.650000000000006pt;height:19.900000000000002pt;z-index:-125829370;mso-wrap-distance-left:0;mso-wrap-distance-top:11.pt;mso-wrap-distance-right:0;mso-wrap-distance-bottom:28.10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bookmarkStart w:id="8" w:name="bookmark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И.С. Канаева</w:t>
                      </w:r>
                      <w:bookmarkEnd w:id="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</w:t>
      </w:r>
      <w:r>
        <w:rPr>
          <w:color w:val="818181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Канаева Ирина Сергеевна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О0Е96ВС66979СВВ6ЕАЕВЕ7240Е54АСЕ02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?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11.07.2024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818181"/>
          <w:spacing w:val="0"/>
          <w:w w:val="100"/>
          <w:position w:val="0"/>
          <w:shd w:val="clear" w:color="auto" w:fill="auto"/>
          <w:lang w:val="ru-RU" w:eastAsia="ru-RU" w:bidi="ru-RU"/>
        </w:rPr>
        <w:t>04.10.2025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666" w:right="532" w:bottom="1632" w:left="1097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56235" distL="0" distR="0" simplePos="0" relativeHeight="125829385" behindDoc="0" locked="0" layoutInCell="1" allowOverlap="1">
                <wp:simplePos x="0" y="0"/>
                <wp:positionH relativeFrom="page">
                  <wp:posOffset>734695</wp:posOffset>
                </wp:positionH>
                <wp:positionV relativeFrom="paragraph">
                  <wp:posOffset>88900</wp:posOffset>
                </wp:positionV>
                <wp:extent cx="1341120" cy="250190"/>
                <wp:wrapTopAndBottom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4112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bookmarkStart w:id="16" w:name="bookmark16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Члены комиссии:</w:t>
                            </w:r>
                            <w:bookmarkEnd w:id="16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57.850000000000001pt;margin-top:7.pt;width:105.60000000000001pt;height:19.699999999999999pt;z-index:-125829368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bookmarkStart w:id="16" w:name="bookmark16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Члены комиссии:</w:t>
                      </w:r>
                      <w:bookmarkEnd w:id="16"/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9430" simplePos="0" relativeHeight="125829387" behindDoc="0" locked="0" layoutInCell="1" allowOverlap="1">
            <wp:simplePos x="0" y="0"/>
            <wp:positionH relativeFrom="page">
              <wp:posOffset>3017520</wp:posOffset>
            </wp:positionH>
            <wp:positionV relativeFrom="paragraph">
              <wp:posOffset>125730</wp:posOffset>
            </wp:positionV>
            <wp:extent cx="389890" cy="572770"/>
            <wp:wrapTopAndBottom/>
            <wp:docPr id="23" name="Shape 2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box 24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3514090</wp:posOffset>
                </wp:positionH>
                <wp:positionV relativeFrom="paragraph">
                  <wp:posOffset>561340</wp:posOffset>
                </wp:positionV>
                <wp:extent cx="1283335" cy="103505"/>
                <wp:wrapNone/>
                <wp:docPr id="25" name="Shape 2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3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1" type="#_x0000_t202" style="position:absolute;margin-left:276.69999999999999pt;margin-top:44.200000000000003pt;width:101.05pt;height:8.15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3468370</wp:posOffset>
                </wp:positionH>
                <wp:positionV relativeFrom="paragraph">
                  <wp:posOffset>250825</wp:posOffset>
                </wp:positionV>
                <wp:extent cx="1725295" cy="255905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73.10000000000002pt;margin-top:19.75pt;width:135.84999999999999pt;height:20.15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56235" distL="0" distR="0" simplePos="0" relativeHeight="125829388" behindDoc="0" locked="0" layoutInCell="1" allowOverlap="1">
                <wp:simplePos x="0" y="0"/>
                <wp:positionH relativeFrom="page">
                  <wp:posOffset>6123305</wp:posOffset>
                </wp:positionH>
                <wp:positionV relativeFrom="paragraph">
                  <wp:posOffset>88900</wp:posOffset>
                </wp:positionV>
                <wp:extent cx="1094105" cy="250190"/>
                <wp:wrapTopAndBottom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410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7"/>
                              <w:keepNext/>
                              <w:keepLines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bookmarkStart w:id="18" w:name="bookmark18"/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А.А.Клевцова</w:t>
                            </w:r>
                            <w:bookmarkEnd w:id="18"/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482.15000000000003pt;margin-top:7.pt;width:86.150000000000006pt;height:19.699999999999999pt;z-index:-125829365;mso-wrap-distance-left:0;mso-wrap-distance-top:7.pt;mso-wrap-distance-right:0;mso-wrap-distance-bottom:28.050000000000001pt;mso-position-horizontal-relative:page" filled="f" stroked="f">
                <v:textbox inset="0,0,0,0">
                  <w:txbxContent>
                    <w:p>
                      <w:pPr>
                        <w:pStyle w:val="Style17"/>
                        <w:keepNext/>
                        <w:keepLines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bookmarkStart w:id="18" w:name="bookmark18"/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А.А.Клевцова</w:t>
                      </w:r>
                      <w:bookmarkEnd w:id="18"/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Клевцова Анжелика Александровна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ОООЕЕВ9861СС2С343552ОАСА885Е93799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4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06.06.2024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color w:val="4F4F4F"/>
          <w:spacing w:val="0"/>
          <w:w w:val="100"/>
          <w:position w:val="0"/>
          <w:shd w:val="clear" w:color="auto" w:fill="auto"/>
          <w:lang w:val="ru-RU" w:eastAsia="ru-RU" w:bidi="ru-RU"/>
        </w:rPr>
        <w:t>30.08.2025</w:t>
      </w:r>
    </w:p>
    <w:p>
      <w:pPr>
        <w:pStyle w:val="Style17"/>
        <w:keepNext/>
        <w:keepLines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3730" simplePos="0" relativeHeight="125829390" behindDoc="0" locked="0" layoutInCell="1" allowOverlap="1">
            <wp:simplePos x="0" y="0"/>
            <wp:positionH relativeFrom="page">
              <wp:posOffset>3017520</wp:posOffset>
            </wp:positionH>
            <wp:positionV relativeFrom="paragraph">
              <wp:posOffset>25400</wp:posOffset>
            </wp:positionV>
            <wp:extent cx="389890" cy="572770"/>
            <wp:wrapSquare wrapText="right"/>
            <wp:docPr id="31" name="Shape 3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box 32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389890" cy="5727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3514090</wp:posOffset>
                </wp:positionH>
                <wp:positionV relativeFrom="paragraph">
                  <wp:posOffset>464185</wp:posOffset>
                </wp:positionV>
                <wp:extent cx="1276985" cy="100330"/>
                <wp:wrapNone/>
                <wp:docPr id="33" name="Shape 3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7698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СВЕДЕНИЯ О </w:t>
                            </w:r>
                            <w:r>
                              <w:rPr>
                                <w:color w:val="FFFFFF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СЕРТИФИКАТЕ </w:t>
                            </w:r>
                            <w:r>
                              <w:rPr>
                                <w:color w:val="E8E8E8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9" type="#_x0000_t202" style="position:absolute;margin-left:276.69999999999999pt;margin-top:36.550000000000004pt;width:100.5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СВЕДЕНИЯ О </w:t>
                      </w:r>
                      <w:r>
                        <w:rPr>
                          <w:color w:val="FFFFFF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СЕРТИФИКАТЕ </w:t>
                      </w:r>
                      <w:r>
                        <w:rPr>
                          <w:color w:val="E8E8E8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3468370</wp:posOffset>
                </wp:positionH>
                <wp:positionV relativeFrom="paragraph">
                  <wp:posOffset>150495</wp:posOffset>
                </wp:positionV>
                <wp:extent cx="1725295" cy="255905"/>
                <wp:wrapNone/>
                <wp:docPr id="35" name="Shape 3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61" type="#_x0000_t202" style="position:absolute;margin-left:273.10000000000002pt;margin-top:11.85pt;width:135.84999999999999pt;height:20.15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0" w:name="bookmark2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Е.М.Полещук</w:t>
      </w:r>
      <w:bookmarkEnd w:id="20"/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color w:val="6B6B6B"/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Полещук Евгений Максимович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0080В8В2А70668512Е203Е36ЕВЕ0804СВ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 w:after="1060" w:line="240" w:lineRule="auto"/>
        <w:ind w:right="0" w:firstLine="0"/>
        <w:jc w:val="left"/>
      </w:pP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18.09.2024 по </w:t>
      </w:r>
      <w:r>
        <w:rPr>
          <w:color w:val="6B6B6B"/>
          <w:spacing w:val="0"/>
          <w:w w:val="100"/>
          <w:position w:val="0"/>
          <w:shd w:val="clear" w:color="auto" w:fill="auto"/>
          <w:lang w:val="ru-RU" w:eastAsia="ru-RU" w:bidi="ru-RU"/>
        </w:rPr>
        <w:t>12.12.2025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Исп.Полещук Е.М.</w:t>
      </w:r>
    </w:p>
    <w:p>
      <w:pPr>
        <w:pStyle w:val="Style12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тел.431-73-87, вн. 052-706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666" w:right="532" w:bottom="1632" w:left="1097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788035</wp:posOffset>
              </wp:positionH>
              <wp:positionV relativeFrom="page">
                <wp:posOffset>10210165</wp:posOffset>
              </wp:positionV>
              <wp:extent cx="725170" cy="10033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62.050000000000004pt;margin-top:803.95000000000005pt;width:57.100000000000001pt;height:7.9000000000000004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891540</wp:posOffset>
              </wp:positionH>
              <wp:positionV relativeFrom="page">
                <wp:posOffset>10037445</wp:posOffset>
              </wp:positionV>
              <wp:extent cx="72517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51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2024-20627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70.200000000000003pt;margin-top:790.35000000000002pt;width:57.100000000000001pt;height:7.9000000000000004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2024-20627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678815</wp:posOffset>
              </wp:positionV>
              <wp:extent cx="64135" cy="10350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09.75pt;margin-top:53.450000000000003pt;width:5.0499999999999998pt;height:8.1500000000000004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3)_"/>
    <w:basedOn w:val="DefaultParagraphFont"/>
    <w:link w:val="Style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character" w:customStyle="1" w:styleId="CharStyle10">
    <w:name w:val="Заголовок №1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3">
    <w:name w:val="Основной текст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5">
    <w:name w:val="Заголовок №3_"/>
    <w:basedOn w:val="DefaultParagraphFont"/>
    <w:link w:val="Style1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character" w:customStyle="1" w:styleId="CharStyle18">
    <w:name w:val="Заголовок №2_"/>
    <w:basedOn w:val="DefaultParagraphFont"/>
    <w:link w:val="Style1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0">
    <w:name w:val="Подпись к картинке_"/>
    <w:basedOn w:val="DefaultParagraphFont"/>
    <w:link w:val="Style1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character" w:customStyle="1" w:styleId="CharStyle23">
    <w:name w:val="Другое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5">
    <w:name w:val="Подпись к таблице_"/>
    <w:basedOn w:val="DefaultParagraphFont"/>
    <w:link w:val="Style2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28">
    <w:name w:val="Основной текст (2)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auto"/>
      <w:spacing w:after="40" w:line="259" w:lineRule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5609F"/>
      <w:sz w:val="19"/>
      <w:szCs w:val="19"/>
      <w:u w:val="none"/>
    </w:rPr>
  </w:style>
  <w:style w:type="paragraph" w:customStyle="1" w:styleId="Style9">
    <w:name w:val="Заголовок №1"/>
    <w:basedOn w:val="Normal"/>
    <w:link w:val="CharStyle10"/>
    <w:pPr>
      <w:widowControl w:val="0"/>
      <w:shd w:val="clear" w:color="auto" w:fill="auto"/>
      <w:spacing w:after="320"/>
      <w:outlineLvl w:val="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2">
    <w:name w:val="Основной текст"/>
    <w:basedOn w:val="Normal"/>
    <w:link w:val="CharStyle1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4">
    <w:name w:val="Заголовок №3"/>
    <w:basedOn w:val="Normal"/>
    <w:link w:val="CharStyle15"/>
    <w:pPr>
      <w:widowControl w:val="0"/>
      <w:shd w:val="clear" w:color="auto" w:fill="auto"/>
      <w:spacing w:after="60"/>
      <w:jc w:val="center"/>
      <w:outlineLvl w:val="2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u w:val="none"/>
    </w:rPr>
  </w:style>
  <w:style w:type="paragraph" w:customStyle="1" w:styleId="Style17">
    <w:name w:val="Заголовок №2"/>
    <w:basedOn w:val="Normal"/>
    <w:link w:val="CharStyle18"/>
    <w:pPr>
      <w:widowControl w:val="0"/>
      <w:shd w:val="clear" w:color="auto" w:fill="auto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9">
    <w:name w:val="Подпись к картинке"/>
    <w:basedOn w:val="Normal"/>
    <w:link w:val="CharStyle20"/>
    <w:pPr>
      <w:widowControl w:val="0"/>
      <w:shd w:val="clear" w:color="auto" w:fill="auto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42424"/>
      <w:sz w:val="11"/>
      <w:szCs w:val="11"/>
      <w:u w:val="none"/>
    </w:rPr>
  </w:style>
  <w:style w:type="paragraph" w:customStyle="1" w:styleId="Style22">
    <w:name w:val="Другое"/>
    <w:basedOn w:val="Normal"/>
    <w:link w:val="CharStyle23"/>
    <w:pPr>
      <w:widowControl w:val="0"/>
      <w:shd w:val="clear" w:color="auto" w:fill="auto"/>
      <w:spacing w:line="276" w:lineRule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4">
    <w:name w:val="Подпись к таблице"/>
    <w:basedOn w:val="Normal"/>
    <w:link w:val="CharStyle2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27">
    <w:name w:val="Основной текст (2)"/>
    <w:basedOn w:val="Normal"/>
    <w:link w:val="CharStyle28"/>
    <w:pPr>
      <w:widowControl w:val="0"/>
      <w:shd w:val="clear" w:color="auto" w:fill="auto"/>
      <w:ind w:left="374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3A3A3A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image" Target="media/image2.jpeg"/><Relationship Id="rId12" Type="http://schemas.openxmlformats.org/officeDocument/2006/relationships/image" Target="media/image2.jpeg" TargetMode="External"/><Relationship Id="rId13" Type="http://schemas.openxmlformats.org/officeDocument/2006/relationships/image" Target="media/image3.jpeg"/><Relationship Id="rId14" Type="http://schemas.openxmlformats.org/officeDocument/2006/relationships/image" Target="media/image3.jpeg" TargetMode="External"/><Relationship Id="rId15" Type="http://schemas.openxmlformats.org/officeDocument/2006/relationships/image" Target="media/image4.jpeg"/><Relationship Id="rId16" Type="http://schemas.openxmlformats.org/officeDocument/2006/relationships/image" Target="media/image4.jpeg" TargetMode="External"/></Relationships>
</file>