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40222/24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40222/24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1еп4ег-МдЪ@уап4ех.ги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621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0" w:bottom="9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077/06/106-13138/2024 о нарушении</w:t>
        <w:br/>
        <w:t>законодательства о контрактной системе</w:t>
        <w:br/>
        <w:t>25.09.2024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  <w:tab/>
        <w:t>Управления Федеральной антимонопольной службы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С.А.: Чарной В.Л. (по доверенности № 2 от 19.08.2024);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ДЗМ»: Трофимова К.В. (по доверенности № б/н от 15.08.2024);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Засецкий С.А. (далее — Заявитель) на действия ГБУЗ «ДГКБ им. З.А. Башляевой ДЗМ» (далее-Заказчик) при проведении электронного аукциона на право заключения контракта на поставку дезинфицирующих средств для моечно-дезинфицирующего аппарата ЕКООСГЕЫ8- Ы8Х находящегося у Заказчика для нужд ГБУЗ «ДГКБ им. З.А. Башляевой ДЗМ» (Закупка №0373200005824000774)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необходимых к поставке товаров «Средство дезинфицирующее» ограничивает круг участников закупки и указывают на поставку товаров конкретных производителей, при этом ограничивающим требованием является указание на совместимость, подтвержденную производителем 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обоснование своей позиции Заявитель ссылается на п. 10 и п. 11 Постановления Правительства РФ от 1 апреля 2022 г. № 552 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 (далее — Постановление № 552), в которых прямо указано на недопустимость ограничения взаимозаменяемости, а также указано, что медицинское изделие может использоваться с расходными материалами другого производителя, если производитель (расходного материала) подтвердил возможность совместного применения в процессе государственной регистрации.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4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следующие требования в закупаемому товару по п. «Средство дезинфицирующее. Идентификатор: 161346003» Совместимость, подтвержденная производителем оборудования и медицинских изделий: Моечнодезинфицирующий автоматический репроцессор для гибких эндоскопов Е^^ОС^Е^8 Ы8Х.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также установлено, что согласно описанию объекта закупки к поставке требуются медицинские изделия, что следует из следующих положений Технического задания: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«1.2 Код и наименование позиции Классификатора предметов государственного заказа: 01.02.10.55.01 - товары/товары медицинские/медицинские расходные материалы/средства дезинфекционные/ средство дезинфицирующее для медицинских учреждений;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 Поставщик обязан осуществить поставку дезинфицирующих средств медицинского назначения (далее - товар) в порядке и на условиях, предусмотренных Контрактом и настоящим Техническим заданием, а также в соответствии с требованиями актов, указанных в разделе 6 настоящего Технического задания;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5.2 Маркировка стерильных и нестерильных медицинских изделий должна обеспечивать возможность разграничения идентичных или схожих видов медицинских изделий;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«Соглашение о единых принципах и правилах обращения медицинских изделий (изделий медицинского назначения и медицинской техники) в рамках Евразийского экономического союза».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Совета Евразийской экономической комиссии от 12.02.2016 Ы 27 «Об утверждении Общих требований безопасности и эффективности медицинских изделий, требований к их маркировке и эксплуатационной документации на них».</w:t>
      </w: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538" w:bottom="947" w:left="11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 Минздрава России от 19.01.2017 Ы 11н «Об утверждении требований к содержанию технической и эксплуатационной документации производителя (изготовителя) медицинского изделия».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описании объекта закупки Заказчиком установлено требование следующим образом: «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Совместимость, подтвержденная производителем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оборудования и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что также указывает на закупку медицинских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п. 2 ст. 4 Федерального закона от 21.11.2011 № 323-ФЗ «Об основах охраны здоровья граждан в Российской Федерации» одним из основных принципов охраны здоровья является приоритет интересов пациента при оказании медицинской помощи, согласно п.3688 СанПиН 3.3686-21 «Санитарно</w:t>
        <w:softHyphen/>
        <w:t>эпидемиологические требования по профилактике инфекционных болезней», моюще-дезинфицирующие машины для обработки гибких эндоскопов для нестерильных вмешательств допускается использовать только с валидированными и указанными в эксплуатационной документации на моюще-дезинфицирующие машины химическими средствами очистки и дезинфекции. Внесение производителем моюще-дезинфицирующие машины в эксплуатационную документацию дополнительных средств очистки и дезинфекции высокого уровня возможно после проведения испытаний в испытательно-лабораторном центре, аккредитованном на данный вид исследований. Следовательно, перечень моюще</w:t>
        <w:softHyphen/>
        <w:t>дезинфицирующих средств, пригодных для использования в определенной моюще</w:t>
        <w:softHyphen/>
        <w:t>дезинфицирующей машине, устанавливается производителем такой машины.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Инструкцией Е^^ОС^Е^8-^8X: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репроцессором разрешено использовать следующие препараты: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Дезинфектант: раствор дезинфектанта СГОЕХ ОРА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Моющее средство: мультиферментное моющее средство СГОЕ2УМЕ ХТКА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Моющее средство: щелочное моющее средство А^АРТАС^ЕА^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заседании Комиссии Управления представитель Заказчика пояснил, что факт получения регистрационного удостоверения на товар «Средство дезинфицирующее» означает, что оно допускается к обороту на рынке, при этом наличие регистрационного удостоверения не подтверждает совместимость и все условия для его использования с оборудованием.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пп. 10, 11 Постановления № 552 указано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10: при обращении медицинских изделий, как включенных, так и не включенных в перечень медицинских изделий, не допускается ограничение взаимозаменяемости медицинских изделий путем использования специальных технических или программных средств или другими способами.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72" w:left="1106" w:header="0" w:footer="24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п. 11: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2024-45368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соответствии с частью 4 статьи 38 Федерального закона от 21.11.2011 № 323-ФЗ «Об основах охраны здоровья граждан в Российской Федерации» (далее - Закон № 323-ФЗ)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38 Закона № 323-ФЗ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о подтверждении совместимости предлагаемых к поставке товаров исключительно производителем оборудования, находящегося в эксплуатации у Заказчика, носит излишний характер, поскольку такая совместимость может мыть подтверждена и иными производителями расходных материалов, в том числе зарегистрированных на сайте Росздравнадзора.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обязанность проводить экспертизу на совместимость разных медицинских изделий или запрашивать одними производителями медицинского изделия у других производителей медицинских изделий разрешение на совместное использование уже зарегистрированных в установленном порядке медицинских изделий, применимыми правовыми нормами не установлена.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 и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Засецкий С. А. на действия ГБУЗ «ДГКБ им. З.А. Башляевой ДЗМ»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51" w:bottom="244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19494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546100</wp:posOffset>
                </wp:positionV>
                <wp:extent cx="18503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43.pt;width:145.70000000000002pt;height:19.699999999999999pt;z-index:-125829371;mso-wrap-distance-left:0;mso-wrap-distance-top:43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43890" distB="0" distL="0" distR="1813560" simplePos="0" relativeHeight="125829384" behindDoc="0" locked="0" layoutInCell="1" allowOverlap="1">
            <wp:simplePos x="0" y="0"/>
            <wp:positionH relativeFrom="page">
              <wp:posOffset>2994660</wp:posOffset>
            </wp:positionH>
            <wp:positionV relativeFrom="paragraph">
              <wp:posOffset>643890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3382010</wp:posOffset>
                </wp:positionH>
                <wp:positionV relativeFrom="paragraph">
                  <wp:posOffset>708025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6.30000000000001pt;margin-top:55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194945" distL="0" distR="0" simplePos="0" relativeHeight="125829385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546100</wp:posOffset>
                </wp:positionV>
                <wp:extent cx="113411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9.15000000000003pt;margin-top:43.pt;width:89.299999999999997pt;height:19.699999999999999pt;z-index:-125829368;mso-wrap-distance-left:0;mso-wrap-distance-top:43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 О5А45С83ЕВ9ЕЕООЕ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07.05.2024 по 31.07.2025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51" w:bottom="32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9240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950000000000003pt;margin-top:9.pt;width:105.60000000000001pt;height:19.900000000000002pt;z-index:-125829366;mso-wrap-distance-left:0;mso-wrap-distance-top: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3560" simplePos="0" relativeHeight="125829389" behindDoc="0" locked="0" layoutInCell="1" allowOverlap="1">
            <wp:simplePos x="0" y="0"/>
            <wp:positionH relativeFrom="page">
              <wp:posOffset>2994660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3382010</wp:posOffset>
                </wp:positionH>
                <wp:positionV relativeFrom="paragraph">
                  <wp:posOffset>279400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6.30000000000001pt;margin-top:22.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92405" distL="0" distR="0" simplePos="0" relativeHeight="125829390" behindDoc="0" locked="0" layoutInCell="1" allowOverlap="1">
                <wp:simplePos x="0" y="0"/>
                <wp:positionH relativeFrom="page">
                  <wp:posOffset>5868670</wp:posOffset>
                </wp:positionH>
                <wp:positionV relativeFrom="paragraph">
                  <wp:posOffset>114300</wp:posOffset>
                </wp:positionV>
                <wp:extent cx="1307465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62.10000000000002pt;margin-top:9.pt;width:102.95pt;height:19.900000000000002pt;z-index:-125829363;mso-wrap-distance-left:0;mso-wrap-distance-top: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340" w:right="0" w:firstLine="0"/>
        <w:jc w:val="left"/>
      </w:pPr>
      <w:r>
        <w:drawing>
          <wp:anchor distT="0" distB="0" distL="114300" distR="1927860" simplePos="0" relativeHeight="125829392" behindDoc="0" locked="0" layoutInCell="1" allowOverlap="1">
            <wp:simplePos x="0" y="0"/>
            <wp:positionH relativeFrom="page">
              <wp:posOffset>2994660</wp:posOffset>
            </wp:positionH>
            <wp:positionV relativeFrom="paragraph">
              <wp:posOffset>76200</wp:posOffset>
            </wp:positionV>
            <wp:extent cx="298450" cy="347345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3382010</wp:posOffset>
                </wp:positionH>
                <wp:positionV relativeFrom="paragraph">
                  <wp:posOffset>140335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6.30000000000001pt;margin-top:11.0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00803Е817690Е8688001Е612СЗС6В74577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20.05.2024 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5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7.80000000000007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7.80000000000007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pt;margin-top:37.5pt;width:5.5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6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6"/>
      <w:numFmt w:val="decimal"/>
      <w:lvlText w:val="%1"/>
    </w:lvl>
    <w:lvl w:ilvl="1">
      <w:start w:val="8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100"/>
      <w:ind w:left="43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5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