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059815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622300</wp:posOffset>
                </wp:positionV>
                <wp:extent cx="251777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1777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134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152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40079/24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49.pt;width:198.25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134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152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 40079/24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Заруцкая Д.В.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4х9852695309@уапдех.ги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РК» 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^8Ъп^сккоVаАV@пт^с^к.^и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077/06/106-12848/2024 о нарушении</w:t>
        <w:br/>
        <w:t>законодательства о контрактной системе</w:t>
        <w:br/>
        <w:t>25.09.2024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79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</w:t>
        <w:tab/>
        <w:t>обжалования государственных 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15" w:val="left"/>
          <w:tab w:pos="4796" w:val="left"/>
          <w:tab w:pos="6740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 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РК» Минздрава России: А.С. Аминовой, Н.В. Воронцовой (по доверенности от 15.12.2023 №142),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Заруцкая Д.В.: Д.А. Болгарова (по доверенности от 03.07.2024 №1),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52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Заруцкая Д.В. (далее — Заявитель) на действия ФГБУ «НМИЦ РК» Минздрава России (далее — Заказчик) при проведении электронного аукциона на право заключения государственного контракта на поставку бытовой техники (холодильники бытовые) для нужд ФГБУ «НМИЦ РК» Минздрава России (Закупка № 0373100108124000551) (далее - электронный аукцион,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— комиссия Заказчика)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предполагает неправомерность действий комиссии Заказчика, выразившихся в признании заявок с идентификационными номерами 1062005 и 1061954 несоответствующими требованиям Закона о контрактной системе, ввиду того обстоятельства, что в составе заявок данных участников не представлены сведения, предусмотренные пп. «п» п.1 ч. 1 ст. 43 Закона о контрактной системе, а именно отсутствует номер расчетного счета.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выраженного в составе жалобы, данные участники действовали в интересах иных участников закупки, что не соответствует положениям Федерального закона от 26.07.2006 № 135-ФЗ «О защите конкуренции» (далее — Закон о защите конкуренции).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считает необходимым отметить, что жалоба Заявителя на действия комиссии Заказчика, исходя из совокупного содержания, подана в Московское УФАС России в порядке главы 6 Закона о контрактной системе и рассматривается Комиссией Управления в соответствии с требованиями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Следует отметить, что в рамках рассмотрения данной жалобы Комиссия Управления не вправе давать оценку действиям Заказчика, комиссии Заказчика в части наличия или отсутствия нарушений Закона о защите конкуренции, так как дела о нарушении антимонопольного законодательства рассматриваются в соответствии с Законом о защите конкуренции по процедуре, предусмотренной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законодательства, утвержденным приказом ФАС России от 25.05.2012 № 339.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Учитывая, что в рамках рассмотрения данной жалобы Комиссия Управления по контролю в сфере закупок не обладает полномочиями по рассмотрению жалоб и обращений в порядке, предусмотренном Законом о защите конкуренции, рассмотрение доводов жалобы в отношении нарушении Закона о защите конкуренции не может быть осуществлено.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согласно протоколу подведения итогов определения поставщика (подрядчика, исполнителя) от 18.09.2024 №ИЭА1 заявки с идентификационными номерами 1062005 и 1061954 отклонены на следующем основании, в частности: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2, 3 ч. 6 ст. 43 Закона 44-ФЗ), несоответствие таких информации и документов требованиям»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Реквизиты счета участника закупки, на который в соответствии с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в пп.4 п.1.2 электронного документа «Приложение 4 Требования к содержанию составу заявки и инструкция ее заполнения» извещения установлено следующее: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пп.«п» п.1 ч.1 ст. 43 Закона о контрактной системе для участия в конкурентном способе заявка на участие в закупке должна содержать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с идентификационным номером 1062005 представлена следующая информация о реквизите счета:</w:t>
      </w:r>
    </w:p>
    <w:tbl>
      <w:tblPr>
        <w:tblOverlap w:val="never"/>
        <w:jc w:val="center"/>
        <w:tblLayout w:type="fixed"/>
      </w:tblPr>
      <w:tblGrid>
        <w:gridCol w:w="5011"/>
        <w:gridCol w:w="520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Расчетный счет: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00000000000000000000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с идентификационным номером 1061954 аналогично представлена информация о реквизите счета:</w:t>
      </w:r>
    </w:p>
    <w:tbl>
      <w:tblPr>
        <w:tblOverlap w:val="never"/>
        <w:jc w:val="center"/>
        <w:tblLayout w:type="fixed"/>
      </w:tblPr>
      <w:tblGrid>
        <w:gridCol w:w="5011"/>
        <w:gridCol w:w="520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Расчетный счет: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00000000000000000000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комиссией Заказчика надлежащим образом проверены заявки участников аукциона, в том числе заявок с идентификационными номерами 1062005 и 1061954, в которых расчет счет представлен в виде: «00000000000000000000».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представитель Заказчика отмечает, что требование о предоставлении реквизитов счета,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предусмотрено как положениями пп. «п» п.1 ч.1 ст.43 Закона о контрактной системе, так и положениями извещения об осуществлении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Заказчика, ввиду отсутствия в составе заявок указанных выше сведений о реквизитах счета, у комиссии Заказчика отсутствовали правовые основания для признания данных заявок с идентификационными номерами 1062005 и 1061954 соответствующими требованиям извещения об осуществление закупки и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Комиссия Управления обращает особое внимание сторон, что в обоснование своих доводов Заявитель также указывает на то, что извещение об осуществлении закупки сформировано в нарушение положений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указанный довод не может быть рассмотрен Комиссией Управления при рассмотрении жалобы на действия комиссии Заказчика, поскольку обжалование положений извещения об осуществления закупки возможно согласно ч.2 ст.105 Закона о контрактной системе до окончания срока подачи заявок на участие в электронном аукционе, а не на этапе их рассмотрения.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 1 - 8 ч. 12 ст.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Заказчика о признании заявок с идентификационными номерами 1062005 и 1061954 несоответствующими по основанию, отраженному в протоколе подведения итогов определения поставщика (подрядчика, исполнителя), является правомерным и не противоречит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ИП Заруцкая Д.В. на действия комиссии ФГБУ «НМИЦ РК» Минздрава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.Жалобу ИП Заруцкая Д.В. в части обжалования положений извещения об осуществлении закупки, а также обжалования действий, противоречащих Закону о защите конкуренции, оставить без рассмотрения в соответствии с Главой 6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04" w:right="534" w:bottom="976" w:left="109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42900" distB="356235" distL="0" distR="0" simplePos="0" relativeHeight="125829381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342900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600000000000001pt;margin-top:27.pt;width:145.70000000000002pt;height:19.699999999999999pt;z-index:-125829372;mso-wrap-distance-left:0;mso-wrap-distance-top:2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9730" distB="0" distL="0" distR="1789430" simplePos="0" relativeHeight="125829383" behindDoc="0" locked="0" layoutInCell="1" allowOverlap="1">
            <wp:simplePos x="0" y="0"/>
            <wp:positionH relativeFrom="page">
              <wp:posOffset>2995930</wp:posOffset>
            </wp:positionH>
            <wp:positionV relativeFrom="paragraph">
              <wp:posOffset>379730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3492500</wp:posOffset>
                </wp:positionH>
                <wp:positionV relativeFrom="paragraph">
                  <wp:posOffset>815340</wp:posOffset>
                </wp:positionV>
                <wp:extent cx="1283335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6E6E6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E6E6E6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5.pt;margin-top:64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6E6E6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E6E6E6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3446780</wp:posOffset>
                </wp:positionH>
                <wp:positionV relativeFrom="paragraph">
                  <wp:posOffset>504825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1.39999999999998pt;margin-top:39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56235" distL="0" distR="0" simplePos="0" relativeHeight="125829384" behindDoc="0" locked="0" layoutInCell="1" allowOverlap="1">
                <wp:simplePos x="0" y="0"/>
                <wp:positionH relativeFrom="page">
                  <wp:posOffset>6333490</wp:posOffset>
                </wp:positionH>
                <wp:positionV relativeFrom="paragraph">
                  <wp:posOffset>342900</wp:posOffset>
                </wp:positionV>
                <wp:extent cx="88074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8.69999999999999pt;margin-top:27.pt;width:69.350000000000009pt;height:19.699999999999999pt;z-index:-125829369;mso-wrap-distance-left:0;mso-wrap-distance-top:2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9595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95959"/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0084Е434Е5152Е57С03201780ВА4А68226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по 05.00.2025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2995930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3492500</wp:posOffset>
                </wp:positionH>
                <wp:positionV relativeFrom="paragraph">
                  <wp:posOffset>464185</wp:posOffset>
                </wp:positionV>
                <wp:extent cx="1283335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6E6E6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5.pt;margin-top:36.550000000000004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6E6E6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3446780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1.39999999999998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1717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ВЗВВ45854ОЕВ6С993Е00602С0ЕВЕЕС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по 30.11.2024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3700" w:right="0" w:firstLine="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3029585</wp:posOffset>
            </wp:positionH>
            <wp:positionV relativeFrom="paragraph">
              <wp:posOffset>50800</wp:posOffset>
            </wp:positionV>
            <wp:extent cx="353695" cy="40259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3447415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1.44999999999999pt;margin-top:11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  <w:rPr>
          <w:sz w:val="11"/>
          <w:szCs w:val="11"/>
        </w:rPr>
      </w:pPr>
      <w:r>
        <w:rPr>
          <w:color w:val="E6E6E6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6E6E6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1717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00ЕЗВ71218Е970424В4Э41С7997434Е304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74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по 13.12.2025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10111740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2024-45227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100000000000001pt;margin-top:79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2024-45227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10119360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2024-45227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796.80000000000007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2024-45227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495300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85000000000002pt;margin-top:39.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Подпись к картинке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Друго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6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Другое"/>
    <w:basedOn w:val="Normal"/>
    <w:link w:val="CharStyle2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7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