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298" w:right="541" w:bottom="649" w:left="1106" w:header="0" w:footer="3" w:gutter="0"/>
          <w:pgNumType w:start="1"/>
          <w:cols w:space="720"/>
          <w:noEndnote/>
          <w:titlePg/>
          <w:rtlGutter w:val="0"/>
          <w:docGrid w:linePitch="360"/>
        </w:sectPr>
      </w:pPr>
    </w:p>
    <w:p>
      <w:pPr>
        <w:widowControl w:val="0"/>
        <w:spacing w:line="1" w:lineRule="exact"/>
      </w:pPr>
      <w:r>
        <mc:AlternateContent>
          <mc:Choice Requires="wps">
            <w:drawing>
              <wp:anchor distT="50800" distB="813435" distL="193675" distR="193675" simplePos="0" relativeHeight="125829378" behindDoc="0" locked="0" layoutInCell="1" allowOverlap="1">
                <wp:simplePos x="0" y="0"/>
                <wp:positionH relativeFrom="page">
                  <wp:posOffset>806450</wp:posOffset>
                </wp:positionH>
                <wp:positionV relativeFrom="paragraph">
                  <wp:posOffset>469265</wp:posOffset>
                </wp:positionV>
                <wp:extent cx="2435225" cy="1408430"/>
                <wp:wrapTopAndBottom/>
                <wp:docPr id="11" name="Shape 11"/>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40086/24</w:t>
                            </w:r>
                          </w:p>
                        </w:txbxContent>
                      </wps:txbx>
                      <wps:bodyPr lIns="0" tIns="0" rIns="0" bIns="0">
                        <a:noAutoFit/>
                      </wps:bodyPr>
                    </wps:wsp>
                  </a:graphicData>
                </a:graphic>
              </wp:anchor>
            </w:drawing>
          </mc:Choice>
          <mc:Fallback>
            <w:pict>
              <v:shape id="_x0000_s1037" type="#_x0000_t202" style="position:absolute;margin-left:63.5pt;margin-top:36.950000000000003pt;width:191.75pt;height:110.90000000000001pt;z-index:-125829375;mso-wrap-distance-left:15.25pt;mso-wrap-distance-top:4.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rPr>
                          <w:color w:val="000000"/>
                          <w:spacing w:val="0"/>
                          <w:w w:val="100"/>
                          <w:position w:val="0"/>
                          <w:sz w:val="30"/>
                          <w:szCs w:val="30"/>
                          <w:shd w:val="clear" w:color="auto" w:fill="auto"/>
                          <w:lang w:val="ru-RU" w:eastAsia="ru-RU" w:bidi="ru-RU"/>
                        </w:rPr>
                        <w:t>3</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0.09.2024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40086/24</w:t>
                      </w:r>
                    </w:p>
                  </w:txbxContent>
                </v:textbox>
                <w10:wrap type="topAndBottom" anchorx="page"/>
              </v:shape>
            </w:pict>
          </mc:Fallback>
        </mc:AlternateContent>
      </w:r>
      <w:r>
        <w:drawing>
          <wp:anchor distT="1574800" distB="0" distL="114300" distR="114300" simplePos="0" relativeHeight="125829380" behindDoc="0" locked="0" layoutInCell="1" allowOverlap="1">
            <wp:simplePos x="0" y="0"/>
            <wp:positionH relativeFrom="page">
              <wp:posOffset>727075</wp:posOffset>
            </wp:positionH>
            <wp:positionV relativeFrom="paragraph">
              <wp:posOffset>1993265</wp:posOffset>
            </wp:positionV>
            <wp:extent cx="2597150" cy="70104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597150" cy="701040"/>
                    </a:xfrm>
                    <a:prstGeom prst="rect"/>
                  </pic:spPr>
                </pic:pic>
              </a:graphicData>
            </a:graphic>
          </wp:anchor>
        </w:drawing>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ФГБНУ НЦН</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хакирИ@пеиго1оду.ги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Гордеев Д.А.</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до^4ееVа025@уап4еx.^и</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РТС-тендер</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629" w:bottom="621" w:left="1601" w:header="0" w:footer="3" w:gutter="0"/>
          <w:cols w:num="2" w:space="720" w:equalWidth="0">
            <w:col w:w="3221" w:space="1584"/>
            <w:col w:w="2866"/>
          </w:cols>
          <w:noEndnote/>
          <w:rtlGutter w:val="0"/>
          <w:docGrid w:linePitch="360"/>
        </w:sectPr>
      </w:pPr>
      <w:r>
        <w:rPr>
          <w:color w:val="000000"/>
          <w:spacing w:val="0"/>
          <w:w w:val="100"/>
          <w:position w:val="0"/>
          <w:shd w:val="clear" w:color="auto" w:fill="auto"/>
          <w:lang w:val="ru-RU" w:eastAsia="ru-RU" w:bidi="ru-RU"/>
        </w:rPr>
        <w:t>т&amp;@г1:8-1:еп4ег.ги</w:t>
      </w:r>
    </w:p>
    <w:p>
      <w:pPr>
        <w:widowControl w:val="0"/>
        <w:spacing w:line="240" w:lineRule="exact"/>
        <w:rPr>
          <w:sz w:val="19"/>
          <w:szCs w:val="19"/>
        </w:rPr>
      </w:pPr>
    </w:p>
    <w:p>
      <w:pPr>
        <w:widowControl w:val="0"/>
        <w:spacing w:before="52" w:after="5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99" w:right="0" w:bottom="859"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6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077/06/106-12989/2024 о нарушении</w:t>
        <w:br/>
        <w:t>законодательства о контрактной системе</w:t>
        <w:br/>
        <w:t>25.09.2024</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Н</w:t>
      </w:r>
      <w:r>
        <w:rPr>
          <w:color w:val="C9211E"/>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А. Узкий,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А.И. Рахматуллаева,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ФГБНУ НЦН: А.И. Окуневой (по дов. № 129 от 15.12.2023),</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ИП Гордеев Д.А. о времени и порядке заседания Комиссии Управления уведомлены надлежащим образом посредством Единой информационной системы,</w:t>
      </w:r>
    </w:p>
    <w:p>
      <w:pPr>
        <w:pStyle w:val="Style9"/>
        <w:keepNext w:val="0"/>
        <w:keepLines w:val="0"/>
        <w:widowControl w:val="0"/>
        <w:shd w:val="clear" w:color="auto" w:fill="auto"/>
        <w:bidi w:val="0"/>
        <w:spacing w:before="0" w:after="360" w:line="240" w:lineRule="auto"/>
        <w:ind w:left="0" w:right="0" w:firstLine="700"/>
        <w:jc w:val="both"/>
      </w:pPr>
      <w:r>
        <w:rPr>
          <w:color w:val="000000"/>
          <w:spacing w:val="0"/>
          <w:w w:val="100"/>
          <w:position w:val="0"/>
          <w:shd w:val="clear" w:color="auto" w:fill="auto"/>
          <w:lang w:val="ru-RU" w:eastAsia="ru-RU" w:bidi="ru-RU"/>
        </w:rPr>
        <w:t>рассмотрев жалобу ИП Гордеев Д.А. (далее — Заявитель) на действия ФГБНУ НЦН (далее — Заказчик) при проведении электронного аукциона на право заключения государственного контракта на оказание услуг по очистке кровель зданий ФГБНУ НЦН от снега, наледи и сосулек в зимний период 2024-2025 г. (Закупка № 0373100078724000388) (далее — электронный аукцион, аукцион), в соответствии с Федеральным законом от 05.04.2013 № 44-ФЗ «О контрактной системе в сфере закупок товаров, работ, услуг для обеспечения государственных и</w:t>
      </w:r>
    </w:p>
    <w:p>
      <w:pPr>
        <w:pStyle w:val="Style15"/>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муниципальных нужд» (далее — Закон о контрактной системе),</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составе жалобы Заявитель указывает, что Заказчиком неправомерно установлены дополнительные требования к участникам закупочной процедуры в соответствии с п.36 приложения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Постановления Правительства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этим пп. «а» п.1 Постановления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w:t>
      </w:r>
    </w:p>
    <w:p>
      <w:pPr>
        <w:pStyle w:val="Style9"/>
        <w:keepNext w:val="0"/>
        <w:keepLines w:val="0"/>
        <w:widowControl w:val="0"/>
        <w:shd w:val="clear" w:color="auto" w:fill="auto"/>
        <w:bidi w:val="0"/>
        <w:spacing w:before="0" w:after="280" w:line="240" w:lineRule="auto"/>
        <w:ind w:left="0" w:right="0" w:firstLine="660"/>
        <w:jc w:val="both"/>
      </w:pPr>
      <w:r>
        <w:rPr>
          <w:color w:val="000000"/>
          <w:spacing w:val="0"/>
          <w:w w:val="100"/>
          <w:position w:val="0"/>
          <w:shd w:val="clear" w:color="auto" w:fill="auto"/>
          <w:lang w:val="ru-RU" w:eastAsia="ru-RU" w:bidi="ru-RU"/>
        </w:rPr>
        <w:t>Согласно пп.«а» п.3 Постановления №2571 положения Постановления №2571 применяются при проведении конкурентных способов определения поставщиков (подрядчиков, исполнителей), при этом:</w:t>
      </w:r>
    </w:p>
    <w:p>
      <w:pPr>
        <w:pStyle w:val="Style9"/>
        <w:keepNext w:val="0"/>
        <w:keepLines w:val="0"/>
        <w:widowControl w:val="0"/>
        <w:numPr>
          <w:ilvl w:val="0"/>
          <w:numId w:val="1"/>
        </w:numPr>
        <w:shd w:val="clear" w:color="auto" w:fill="auto"/>
        <w:tabs>
          <w:tab w:pos="875"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позиция Приложения применяется с учетом положений п.3 Постановления №2571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w:t>
      </w:r>
    </w:p>
    <w:p>
      <w:pPr>
        <w:pStyle w:val="Style9"/>
        <w:keepNext w:val="0"/>
        <w:keepLines w:val="0"/>
        <w:widowControl w:val="0"/>
        <w:numPr>
          <w:ilvl w:val="0"/>
          <w:numId w:val="1"/>
        </w:numPr>
        <w:shd w:val="clear" w:color="auto" w:fill="auto"/>
        <w:tabs>
          <w:tab w:pos="870"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позиции 14, 15 и 36 Приложения применяются в случае, если при осуществлении закупки начальная (максимальная) цена контракта превышает 1 млн.рублей.</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позиции 36 Приложения к постановлению № 2571 при проведении конкурентных процедур по оказанию услуг по уборке зданий, сооружений, прилегающих к ним территорий. 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соответствие участников закупки указанным требованиям подтверждается представлением в составе заявки: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 исполненный договор;</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2) акт приемки оказанных услуг, подтверждающий цену оказанных услуг.</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позиции 14 Приложения к постановлению № 2571 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При этом соответствие участников закупки указанным требованиям подтверждается представлением в составе заявки: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1) исполненного договора;</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2) акта выполненных работ, подтверждающий цену выполненных работ.</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п.9 ч.1 ст.42 Закона о контрактной системе извещение об осуществлении закупки должно содержать, в том числе, информацию о начальной (максимальной) цене контракта (цена отдельных этапов исполнения контракта, если проектом контракта предусмотрены такие этапы).</w:t>
      </w:r>
    </w:p>
    <w:p>
      <w:pPr>
        <w:pStyle w:val="Style9"/>
        <w:keepNext w:val="0"/>
        <w:keepLines w:val="0"/>
        <w:widowControl w:val="0"/>
        <w:shd w:val="clear" w:color="auto" w:fill="auto"/>
        <w:bidi w:val="0"/>
        <w:spacing w:before="0" w:after="0" w:line="290" w:lineRule="auto"/>
        <w:ind w:left="0" w:right="0" w:firstLine="640"/>
        <w:jc w:val="both"/>
        <w:rPr>
          <w:sz w:val="22"/>
          <w:szCs w:val="22"/>
        </w:rPr>
      </w:pPr>
      <w:r>
        <w:rPr>
          <w:color w:val="000000"/>
          <w:spacing w:val="0"/>
          <w:w w:val="100"/>
          <w:position w:val="0"/>
          <w:sz w:val="28"/>
          <w:szCs w:val="28"/>
          <w:shd w:val="clear" w:color="auto" w:fill="auto"/>
          <w:lang w:val="ru-RU" w:eastAsia="ru-RU" w:bidi="ru-RU"/>
        </w:rPr>
        <w:t xml:space="preserve">Комиссией Управления установлено, что, согласно извещению о проведении электронного аукциона от 12.09.2024 №0373100078724000388 объектом закупочной </w:t>
      </w:r>
      <w:r>
        <w:rPr>
          <w:rFonts w:ascii="Cambria" w:eastAsia="Cambria" w:hAnsi="Cambria" w:cs="Cambria"/>
          <w:color w:val="000000"/>
          <w:spacing w:val="0"/>
          <w:w w:val="100"/>
          <w:position w:val="0"/>
          <w:sz w:val="22"/>
          <w:szCs w:val="22"/>
          <w:shd w:val="clear" w:color="auto" w:fill="auto"/>
          <w:lang w:val="ru-RU" w:eastAsia="ru-RU" w:bidi="ru-RU"/>
        </w:rPr>
        <w:t>2024-44854</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процедуры является оказание услуг по очистке кровель зданий ФГБНУ НЦН от снега, наледи и сосулек в зимний период 2024-2025 г., при этом начальная (максимальная) цена контракта составляет 5 097 350,48 руб.</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ч.5 ст.31 Закона о контрактной системе информация об установленных требованиях в соответствии с частями 1, 1.1, 2 и 2.1 ст.31 Закона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п.12 ч.1 ст.42 Закона о контрактной системе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Комиссией Управления также установлено, что в соответствии с извещением о проведении данного аукциона Заказчиком установлены дополнительные требования к участникам закупки в соответствии с позицией 36 раздела VI приложения к Постановлению № 2571: «Наличие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приемки оказанных услуг, подтверждающий цену оказанных услуг».</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В ходе заседания Комиссией Управления установлено, что п.3.5 Описанием объекта закупки предусмотрено:</w:t>
      </w:r>
    </w:p>
    <w:p>
      <w:pPr>
        <w:pStyle w:val="Style9"/>
        <w:keepNext w:val="0"/>
        <w:keepLines w:val="0"/>
        <w:widowControl w:val="0"/>
        <w:shd w:val="clear" w:color="auto" w:fill="auto"/>
        <w:bidi w:val="0"/>
        <w:spacing w:before="0" w:after="0" w:line="240" w:lineRule="auto"/>
        <w:ind w:left="0" w:right="0" w:firstLine="640"/>
        <w:jc w:val="both"/>
      </w:pPr>
      <w:r>
        <w:rPr>
          <w:i/>
          <w:iCs/>
          <w:color w:val="000000"/>
          <w:spacing w:val="0"/>
          <w:w w:val="100"/>
          <w:position w:val="0"/>
          <w:shd w:val="clear" w:color="auto" w:fill="auto"/>
          <w:lang w:val="ru-RU" w:eastAsia="ru-RU" w:bidi="ru-RU"/>
        </w:rPr>
        <w:t>«3.5. Очистка крыши от снега, наледи включает в себя:</w:t>
      </w:r>
    </w:p>
    <w:p>
      <w:pPr>
        <w:pStyle w:val="Style9"/>
        <w:keepNext w:val="0"/>
        <w:keepLines w:val="0"/>
        <w:widowControl w:val="0"/>
        <w:numPr>
          <w:ilvl w:val="2"/>
          <w:numId w:val="3"/>
        </w:numPr>
        <w:shd w:val="clear" w:color="auto" w:fill="auto"/>
        <w:tabs>
          <w:tab w:pos="1478" w:val="left"/>
        </w:tabs>
        <w:bidi w:val="0"/>
        <w:spacing w:before="0" w:after="0" w:line="240" w:lineRule="auto"/>
        <w:ind w:left="0" w:right="0" w:firstLine="640"/>
        <w:jc w:val="both"/>
        <w:sectPr>
          <w:footnotePr>
            <w:pos w:val="pageBottom"/>
            <w:numFmt w:val="decimal"/>
            <w:numRestart w:val="continuous"/>
          </w:footnotePr>
          <w:type w:val="continuous"/>
          <w:pgSz w:w="11900" w:h="16840"/>
          <w:pgMar w:top="999" w:right="542" w:bottom="859" w:left="1106" w:header="0" w:footer="3" w:gutter="0"/>
          <w:cols w:space="720"/>
          <w:noEndnote/>
          <w:rtlGutter w:val="0"/>
          <w:docGrid w:linePitch="360"/>
        </w:sectPr>
      </w:pPr>
      <w:r>
        <w:rPr>
          <w:i/>
          <w:iCs/>
          <w:color w:val="000000"/>
          <w:spacing w:val="0"/>
          <w:w w:val="100"/>
          <w:position w:val="0"/>
          <w:shd w:val="clear" w:color="auto" w:fill="auto"/>
          <w:lang w:val="ru-RU" w:eastAsia="ru-RU" w:bidi="ru-RU"/>
        </w:rPr>
        <w:t>Установку и снятие защитных лотков на водоприемные воронки водосточных труб и внутренних водостоков.</w:t>
      </w:r>
    </w:p>
    <w:p>
      <w:pPr>
        <w:pStyle w:val="Style9"/>
        <w:keepNext w:val="0"/>
        <w:keepLines w:val="0"/>
        <w:widowControl w:val="0"/>
        <w:numPr>
          <w:ilvl w:val="2"/>
          <w:numId w:val="3"/>
        </w:numPr>
        <w:shd w:val="clear" w:color="auto" w:fill="auto"/>
        <w:tabs>
          <w:tab w:pos="1494"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Изготовление, установку и снятие на крыше приспособлений и устройств, позволяющих повысить безопасность оказания услуг (при необходимости).</w:t>
      </w:r>
    </w:p>
    <w:p>
      <w:pPr>
        <w:pStyle w:val="Style9"/>
        <w:keepNext w:val="0"/>
        <w:keepLines w:val="0"/>
        <w:widowControl w:val="0"/>
        <w:numPr>
          <w:ilvl w:val="2"/>
          <w:numId w:val="3"/>
        </w:numPr>
        <w:shd w:val="clear" w:color="auto" w:fill="auto"/>
        <w:tabs>
          <w:tab w:pos="1494"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Ручную очистку кровель и кровельных покрытий архитектурных элементов от снега, наледи (по всей площади здания включая балконы, амфилады, выступающие архитектурные элементы зданий, козырьки и т.д.):</w:t>
      </w:r>
    </w:p>
    <w:p>
      <w:pPr>
        <w:pStyle w:val="Style9"/>
        <w:keepNext w:val="0"/>
        <w:keepLines w:val="0"/>
        <w:widowControl w:val="0"/>
        <w:numPr>
          <w:ilvl w:val="0"/>
          <w:numId w:val="5"/>
        </w:numPr>
        <w:shd w:val="clear" w:color="auto" w:fill="auto"/>
        <w:tabs>
          <w:tab w:pos="906"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очищать крышу от снега следует со всех ее скатов, начиная от карнизов к коньку равномерно, не допуская перегрузки от снега отдельных участков.</w:t>
      </w:r>
    </w:p>
    <w:p>
      <w:pPr>
        <w:pStyle w:val="Style9"/>
        <w:keepNext w:val="0"/>
        <w:keepLines w:val="0"/>
        <w:widowControl w:val="0"/>
        <w:numPr>
          <w:ilvl w:val="0"/>
          <w:numId w:val="5"/>
        </w:numPr>
        <w:shd w:val="clear" w:color="auto" w:fill="auto"/>
        <w:tabs>
          <w:tab w:pos="901"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с крыши не снимается тонкий слой льда, за исключением свесов, где полная очистка необходима для предупреждения образования наледей и сосулек.</w:t>
      </w:r>
    </w:p>
    <w:p>
      <w:pPr>
        <w:pStyle w:val="Style9"/>
        <w:keepNext w:val="0"/>
        <w:keepLines w:val="0"/>
        <w:widowControl w:val="0"/>
        <w:numPr>
          <w:ilvl w:val="2"/>
          <w:numId w:val="3"/>
        </w:numPr>
        <w:shd w:val="clear" w:color="auto" w:fill="auto"/>
        <w:tabs>
          <w:tab w:pos="1494"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При необходимости очистку крыши от снега и наледи (по периметру на 2,5м от края).</w:t>
      </w:r>
    </w:p>
    <w:p>
      <w:pPr>
        <w:pStyle w:val="Style9"/>
        <w:keepNext w:val="0"/>
        <w:keepLines w:val="0"/>
        <w:widowControl w:val="0"/>
        <w:numPr>
          <w:ilvl w:val="2"/>
          <w:numId w:val="3"/>
        </w:numPr>
        <w:shd w:val="clear" w:color="auto" w:fill="auto"/>
        <w:tabs>
          <w:tab w:pos="1494"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Очистку от снега, наледи карнизов, желобов, воронок водосточных труб и внутренних водостоков в том числе при необходимости с использованием автовышки, подъемных платформ, строительных лесов.</w:t>
      </w:r>
    </w:p>
    <w:p>
      <w:pPr>
        <w:pStyle w:val="Style9"/>
        <w:keepNext w:val="0"/>
        <w:keepLines w:val="0"/>
        <w:widowControl w:val="0"/>
        <w:numPr>
          <w:ilvl w:val="2"/>
          <w:numId w:val="3"/>
        </w:numPr>
        <w:shd w:val="clear" w:color="auto" w:fill="auto"/>
        <w:tabs>
          <w:tab w:pos="1494"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Очистка кровель зданий на сторонах, выходящих на пешеходные зоны от наледеобразований, должна производиться немедленно по мере их образования с предварительной установкой ограждения опасных участков.</w:t>
      </w:r>
    </w:p>
    <w:p>
      <w:pPr>
        <w:pStyle w:val="Style9"/>
        <w:keepNext w:val="0"/>
        <w:keepLines w:val="0"/>
        <w:widowControl w:val="0"/>
        <w:numPr>
          <w:ilvl w:val="1"/>
          <w:numId w:val="7"/>
        </w:numPr>
        <w:shd w:val="clear" w:color="auto" w:fill="auto"/>
        <w:tabs>
          <w:tab w:pos="1234"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Исполнитель, после каждой проведенной очистки крыши производит:</w:t>
      </w:r>
    </w:p>
    <w:p>
      <w:pPr>
        <w:pStyle w:val="Style9"/>
        <w:keepNext w:val="0"/>
        <w:keepLines w:val="0"/>
        <w:widowControl w:val="0"/>
        <w:numPr>
          <w:ilvl w:val="0"/>
          <w:numId w:val="9"/>
        </w:numPr>
        <w:shd w:val="clear" w:color="auto" w:fill="auto"/>
        <w:tabs>
          <w:tab w:pos="932"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демонтаж защитных ограждений и предупреждающих знаков;</w:t>
      </w:r>
    </w:p>
    <w:p>
      <w:pPr>
        <w:pStyle w:val="Style9"/>
        <w:keepNext w:val="0"/>
        <w:keepLines w:val="0"/>
        <w:widowControl w:val="0"/>
        <w:numPr>
          <w:ilvl w:val="0"/>
          <w:numId w:val="9"/>
        </w:numPr>
        <w:shd w:val="clear" w:color="auto" w:fill="auto"/>
        <w:tabs>
          <w:tab w:pos="910"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уборку тротуаров от снега, наледи, сброшенных во время оказания услуг, путем перемещения снега, наледи в места, указанные Заказчиком;</w:t>
      </w:r>
    </w:p>
    <w:p>
      <w:pPr>
        <w:pStyle w:val="Style9"/>
        <w:keepNext w:val="0"/>
        <w:keepLines w:val="0"/>
        <w:widowControl w:val="0"/>
        <w:numPr>
          <w:ilvl w:val="0"/>
          <w:numId w:val="9"/>
        </w:numPr>
        <w:shd w:val="clear" w:color="auto" w:fill="auto"/>
        <w:tabs>
          <w:tab w:pos="906"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очистку отмосток и территории по всему периметру здания на расстоянии 1,5 (полтора) метра от наружной стены от снега, наледи вне зависимости от количества снега и льда находящегося на отмостках до начала оказания услуги.</w:t>
      </w:r>
    </w:p>
    <w:p>
      <w:pPr>
        <w:pStyle w:val="Style9"/>
        <w:keepNext w:val="0"/>
        <w:keepLines w:val="0"/>
        <w:widowControl w:val="0"/>
        <w:numPr>
          <w:ilvl w:val="1"/>
          <w:numId w:val="7"/>
        </w:numPr>
        <w:shd w:val="clear" w:color="auto" w:fill="auto"/>
        <w:tabs>
          <w:tab w:pos="1213"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В соответствии с требованиями Контракта Исполнитель должен предоставить Заказчику следующие отчетные документы:</w:t>
      </w:r>
    </w:p>
    <w:p>
      <w:pPr>
        <w:pStyle w:val="Style9"/>
        <w:keepNext w:val="0"/>
        <w:keepLines w:val="0"/>
        <w:widowControl w:val="0"/>
        <w:numPr>
          <w:ilvl w:val="0"/>
          <w:numId w:val="11"/>
        </w:numPr>
        <w:shd w:val="clear" w:color="auto" w:fill="auto"/>
        <w:tabs>
          <w:tab w:pos="910"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Акт сдачи-приемки оказанных услуг (структурированный документ о приемке в ЕИС);</w:t>
      </w:r>
    </w:p>
    <w:p>
      <w:pPr>
        <w:pStyle w:val="Style9"/>
        <w:keepNext w:val="0"/>
        <w:keepLines w:val="0"/>
        <w:widowControl w:val="0"/>
        <w:numPr>
          <w:ilvl w:val="0"/>
          <w:numId w:val="11"/>
        </w:numPr>
        <w:shd w:val="clear" w:color="auto" w:fill="auto"/>
        <w:tabs>
          <w:tab w:pos="1494" w:val="left"/>
        </w:tabs>
        <w:bidi w:val="0"/>
        <w:spacing w:before="0" w:after="0" w:line="240" w:lineRule="auto"/>
        <w:ind w:left="0" w:right="0" w:firstLine="660"/>
        <w:jc w:val="both"/>
      </w:pPr>
      <w:r>
        <w:rPr>
          <w:i/>
          <w:iCs/>
          <w:color w:val="000000"/>
          <w:spacing w:val="0"/>
          <w:w w:val="100"/>
          <w:position w:val="0"/>
          <w:shd w:val="clear" w:color="auto" w:fill="auto"/>
          <w:lang w:val="ru-RU" w:eastAsia="ru-RU" w:bidi="ru-RU"/>
        </w:rPr>
        <w:t>счет и счет-фактуру на оплату.».</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На заседании Комиссии Управления представитель Заказчика указал на то, что Заказчиком выбран код ОКПД2: 81.29.19.000 - Услуги по чистке и уборке прочие, не включенные в другие группировки. В соответствии с ОК 034-2014 (КПЕС 2008) услуги по очистке кровель зданий ФГБНУ НЦН от снега, наледи и сосулек в зимний период 2024-2025 г. относятся к услугам по обслуживанию зданий и территорий.</w:t>
      </w:r>
    </w:p>
    <w:p>
      <w:pPr>
        <w:pStyle w:val="Style9"/>
        <w:keepNext w:val="0"/>
        <w:keepLines w:val="0"/>
        <w:widowControl w:val="0"/>
        <w:shd w:val="clear" w:color="auto" w:fill="auto"/>
        <w:bidi w:val="0"/>
        <w:spacing w:before="0" w:after="0" w:line="240" w:lineRule="auto"/>
        <w:ind w:left="0" w:right="0" w:firstLine="660"/>
        <w:jc w:val="both"/>
        <w:rPr>
          <w:sz w:val="22"/>
          <w:szCs w:val="22"/>
        </w:rPr>
        <w:sectPr>
          <w:footnotePr>
            <w:pos w:val="pageBottom"/>
            <w:numFmt w:val="decimal"/>
            <w:numRestart w:val="continuous"/>
          </w:footnotePr>
          <w:pgSz w:w="11900" w:h="16840"/>
          <w:pgMar w:top="1167" w:right="546" w:bottom="697" w:left="1087"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Кроме того, ч.8 ст. 55.24 Градостроительного кодекса РФ (далее — ГрК РФ) установлено, что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w:t>
      </w:r>
      <w:r>
        <w:rPr>
          <w:rFonts w:ascii="Cambria" w:eastAsia="Cambria" w:hAnsi="Cambria" w:cs="Cambria"/>
          <w:color w:val="000000"/>
          <w:spacing w:val="0"/>
          <w:w w:val="100"/>
          <w:position w:val="0"/>
          <w:sz w:val="22"/>
          <w:szCs w:val="22"/>
          <w:shd w:val="clear" w:color="auto" w:fill="auto"/>
          <w:lang w:val="ru-RU" w:eastAsia="ru-RU" w:bidi="ru-RU"/>
        </w:rPr>
        <w:t>2024-44854</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 3.11 ч. 3 Свода правил СП 255.1325800.2016 «Свод правил. Здания и сооружения. Правила эксплуатации. Основные положения» текущее обслуживание — это поддержание надлежащего технического состояния зданий (сооружений) в части параметров устойчивости, надежности, а также исправности строительных конструкций, систем и сетей инженерно-технического обеспечения, их элементов в соответствии с требованиями техрегламентов, проектной документации.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Исходя из определения, содержащегося в п. 23 ч. 2 ст. 2 Федерального закона от 30.12.2009 № 384-ФЗ «Технический регламент о безопасности зданий и сооружений» (далее — Закон № 384-ФЗ), сооружение имеет следующие признаки:</w:t>
      </w:r>
    </w:p>
    <w:p>
      <w:pPr>
        <w:pStyle w:val="Style9"/>
        <w:keepNext w:val="0"/>
        <w:keepLines w:val="0"/>
        <w:widowControl w:val="0"/>
        <w:numPr>
          <w:ilvl w:val="0"/>
          <w:numId w:val="11"/>
        </w:numPr>
        <w:shd w:val="clear" w:color="auto" w:fill="auto"/>
        <w:tabs>
          <w:tab w:pos="91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создано в результате строительства (объекты капитального строительства могут создаваться только в процессе строительства) (п. 10, 13 ст. 1 ГрК РФ);</w:t>
      </w:r>
    </w:p>
    <w:p>
      <w:pPr>
        <w:pStyle w:val="Style9"/>
        <w:keepNext w:val="0"/>
        <w:keepLines w:val="0"/>
        <w:widowControl w:val="0"/>
        <w:numPr>
          <w:ilvl w:val="0"/>
          <w:numId w:val="11"/>
        </w:numPr>
        <w:shd w:val="clear" w:color="auto" w:fill="auto"/>
        <w:tabs>
          <w:tab w:pos="91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является объемной, линейной (например, железная дорога) или плоскостной (например, парковочная площадка) строительной системой;</w:t>
      </w:r>
    </w:p>
    <w:p>
      <w:pPr>
        <w:pStyle w:val="Style9"/>
        <w:keepNext w:val="0"/>
        <w:keepLines w:val="0"/>
        <w:widowControl w:val="0"/>
        <w:numPr>
          <w:ilvl w:val="0"/>
          <w:numId w:val="11"/>
        </w:numPr>
        <w:shd w:val="clear" w:color="auto" w:fill="auto"/>
        <w:tabs>
          <w:tab w:pos="155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может иметь как надземную, так и подземную и/или наземную часть;</w:t>
      </w:r>
    </w:p>
    <w:p>
      <w:pPr>
        <w:pStyle w:val="Style9"/>
        <w:keepNext w:val="0"/>
        <w:keepLines w:val="0"/>
        <w:widowControl w:val="0"/>
        <w:numPr>
          <w:ilvl w:val="0"/>
          <w:numId w:val="11"/>
        </w:numPr>
        <w:shd w:val="clear" w:color="auto" w:fill="auto"/>
        <w:tabs>
          <w:tab w:pos="91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имеет несущие, а в отдельных случаях ограждающие строительные конструкции;</w:t>
      </w:r>
    </w:p>
    <w:p>
      <w:pPr>
        <w:pStyle w:val="Style9"/>
        <w:keepNext w:val="0"/>
        <w:keepLines w:val="0"/>
        <w:widowControl w:val="0"/>
        <w:numPr>
          <w:ilvl w:val="0"/>
          <w:numId w:val="11"/>
        </w:numPr>
        <w:shd w:val="clear" w:color="auto" w:fill="auto"/>
        <w:tabs>
          <w:tab w:pos="91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используется для различных производственных процессов; хранения продукции; временного пребывания людей; перемещения людей и грузов.</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Согласно п. 20, 21 ч. 2 ст. 2 Закона № 384-ФЗ:</w:t>
      </w:r>
    </w:p>
    <w:p>
      <w:pPr>
        <w:pStyle w:val="Style9"/>
        <w:keepNext w:val="0"/>
        <w:keepLines w:val="0"/>
        <w:widowControl w:val="0"/>
        <w:numPr>
          <w:ilvl w:val="0"/>
          <w:numId w:val="11"/>
        </w:numPr>
        <w:shd w:val="clear" w:color="auto" w:fill="auto"/>
        <w:tabs>
          <w:tab w:pos="91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сеть инженерно-технического обеспечения — совокупность трубопроводов, коммуникаций и других сооружений, предназначенных для инженерно-технического обеспечения зданий и сооружений;</w:t>
      </w:r>
    </w:p>
    <w:p>
      <w:pPr>
        <w:pStyle w:val="Style9"/>
        <w:keepNext w:val="0"/>
        <w:keepLines w:val="0"/>
        <w:widowControl w:val="0"/>
        <w:numPr>
          <w:ilvl w:val="0"/>
          <w:numId w:val="11"/>
        </w:numPr>
        <w:shd w:val="clear" w:color="auto" w:fill="auto"/>
        <w:tabs>
          <w:tab w:pos="912" w:val="left"/>
        </w:tabs>
        <w:bidi w:val="0"/>
        <w:spacing w:before="0" w:after="0" w:line="240" w:lineRule="auto"/>
        <w:ind w:left="0" w:right="0" w:firstLine="640"/>
        <w:jc w:val="both"/>
      </w:pPr>
      <w:r>
        <w:rPr>
          <w:color w:val="000000"/>
          <w:spacing w:val="0"/>
          <w:w w:val="100"/>
          <w:position w:val="0"/>
          <w:shd w:val="clear" w:color="auto" w:fill="auto"/>
          <w:lang w:val="ru-RU" w:eastAsia="ru-RU" w:bidi="ru-RU"/>
        </w:rPr>
        <w:t>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мусороудаления, вертикального транспорта (лифты, эскалаторы) или функций обеспечения безопасности.</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Исходя из этого, услуги по очистке кровель зданий ФГБНУ НЦН от снега, наледи и сосулек в зимний период не относятся к поддержанию надлежащего технического состояния зданий (сооружений) в части параметров устойчивости, надежности, а также исправности строительных конструкций, систем и сетей инженерно-технического обеспечения, их элементов, т.к. очистка крыши не влияет на устойчивость, надежность, а также исправность строительных конструкций.</w:t>
      </w:r>
    </w:p>
    <w:p>
      <w:pPr>
        <w:pStyle w:val="Style9"/>
        <w:keepNext w:val="0"/>
        <w:keepLines w:val="0"/>
        <w:widowControl w:val="0"/>
        <w:shd w:val="clear" w:color="auto" w:fill="auto"/>
        <w:bidi w:val="0"/>
        <w:spacing w:before="0" w:after="0" w:line="240" w:lineRule="auto"/>
        <w:ind w:left="0" w:right="0" w:firstLine="640"/>
        <w:jc w:val="both"/>
      </w:pPr>
      <w:r>
        <w:rPr>
          <w:color w:val="000000"/>
          <w:spacing w:val="0"/>
          <w:w w:val="100"/>
          <w:position w:val="0"/>
          <w:shd w:val="clear" w:color="auto" w:fill="auto"/>
          <w:lang w:val="ru-RU" w:eastAsia="ru-RU" w:bidi="ru-RU"/>
        </w:rPr>
        <w:t>Кроме того, Заказчик в возражениях указал на то, что дополнительные требования, изложенные в п.14 Постановления № 2571 являются избыточными по отношению к участникам закупки в части наличия опыта, предусматривающего выполнение работ по текущему ремонту, тогда, как требования, изложенные в п.36 Постановления № 2571 являются необходимыми и достаточными для достижения целей, установленных Заказчиком при определении Исполнителя по оказанию услуг по очистке кровель зданий от снега, наледи, сосулек в зимний период.</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Вместе с тем Комиссия Управления отмечает следующее.</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Комиссия Управления отмечает, что Свод Правил «СП 255.1325800.2016. Свод правил. Здания и сооружения. Правила эксплуатации. Основные положения» от 19.05.2023 устанавливает общие эксплуатационные требования к зданиям и сооружениям в условиях нормальной эксплуатации (далее — СП 255.1325800.2016).</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 xml:space="preserve">Согласно п.9.2 СП 255.1325800.2016 определено, что </w:t>
      </w:r>
      <w:r>
        <w:rPr>
          <w:i/>
          <w:iCs/>
          <w:color w:val="000000"/>
          <w:spacing w:val="0"/>
          <w:w w:val="100"/>
          <w:position w:val="0"/>
          <w:shd w:val="clear" w:color="auto" w:fill="auto"/>
          <w:lang w:val="ru-RU" w:eastAsia="ru-RU" w:bidi="ru-RU"/>
        </w:rPr>
        <w:t>в состав работ по текущему обслуживанию входят</w:t>
      </w:r>
      <w:r>
        <w:rPr>
          <w:color w:val="000000"/>
          <w:spacing w:val="0"/>
          <w:w w:val="100"/>
          <w:position w:val="0"/>
          <w:shd w:val="clear" w:color="auto" w:fill="auto"/>
          <w:lang w:val="ru-RU" w:eastAsia="ru-RU" w:bidi="ru-RU"/>
        </w:rPr>
        <w:t xml:space="preserve">: - исправление незначительных неисправностей, выявленных в ходе осмотров; - проведение регламентных работ по регулировке и наладке систем инженерно-технического обеспечения, в том числе при подготовке к сезонной эксплуатации; - проведение работ по подготовке здания (сооружения) к сезонной эксплуатации; - санитарное содержание помещений здания (сооружения) и прилегающей территории; - </w:t>
      </w:r>
      <w:r>
        <w:rPr>
          <w:i/>
          <w:iCs/>
          <w:color w:val="000000"/>
          <w:spacing w:val="0"/>
          <w:w w:val="100"/>
          <w:position w:val="0"/>
          <w:shd w:val="clear" w:color="auto" w:fill="auto"/>
          <w:lang w:val="ru-RU" w:eastAsia="ru-RU" w:bidi="ru-RU"/>
        </w:rPr>
        <w:t>уборка снега</w:t>
      </w:r>
      <w:r>
        <w:rPr>
          <w:color w:val="000000"/>
          <w:spacing w:val="0"/>
          <w:w w:val="100"/>
          <w:position w:val="0"/>
          <w:shd w:val="clear" w:color="auto" w:fill="auto"/>
          <w:lang w:val="ru-RU" w:eastAsia="ru-RU" w:bidi="ru-RU"/>
        </w:rPr>
        <w:t>; - обеспечение работоспособности систем (станций) мониторинга технического состояния и динамического поведения конструкций и прилегающих грунтов (если такие системы установлены).</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в состав работ по текущему обслуживанию здания уборка снега выделена в отдельную категорию.</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При этом п.11.3 СП 255.1325800.2016 для предохранения строительных конструкций и оснований зданий (сооружений) от воздействия атмосферных осадков и грунтовых вод следует в том числе обеспечивать своевременную очистку и удаления наледей и сосулек с карнизов и при необходимости уборку снега с кровли; организовывать уборку снега от стен здания (сооружения) на расстоянии не менее 2м. при наступлении оттепелей.</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Таким образом, Комиссия Управления приходит к выводу, что указанные в Техническом задании работы не могут быть отнесены к услугам по уборке зданий, сооружений, прилегающих к ним территорий, так как не включают в себя уборку последних, а предполагают очистку кровли, желобов и воронок водосточных труб, что свидетельствует о том, что объект закупочной процедуры связан с текущим обслуживанием здания в соответствии с СП 255.1325800.2016 и не подпадает под условия применения п.36 Постановления №2571.</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ч.6 ст.31, п.12 ч.1 ст.42 Закона о контрактной системе, поскольку Заказчиком неправомерно установлены дополнительные требования к участникам закупки в соответствии с п. 36 Приложения к Постановлению №2571, что содержит признаки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ИП Гордеев Д.А. на действия ФГБНУ НЦН обоснованной.</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ч.4 ст.31, п.12 ч.1 ст.42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shd w:val="clear" w:color="auto" w:fill="auto"/>
        <w:bidi w:val="0"/>
        <w:spacing w:before="0" w:after="20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headerReference w:type="default" r:id="rId15"/>
          <w:footerReference w:type="default" r:id="rId16"/>
          <w:headerReference w:type="even" r:id="rId17"/>
          <w:footerReference w:type="even" r:id="rId18"/>
          <w:footnotePr>
            <w:pos w:val="pageBottom"/>
            <w:numFmt w:val="decimal"/>
            <w:numRestart w:val="continuous"/>
          </w:footnotePr>
          <w:pgSz w:w="11900" w:h="16840"/>
          <w:pgMar w:top="1158" w:right="531" w:bottom="1163" w:left="1101" w:header="0" w:footer="3" w:gutter="0"/>
          <w:cols w:space="720"/>
          <w:noEndnote/>
          <w:rtlGutter w:val="0"/>
          <w:docGrid w:linePitch="360"/>
        </w:sectPr>
      </w:pPr>
      <w:r>
        <mc:AlternateContent>
          <mc:Choice Requires="wps">
            <w:drawing>
              <wp:anchor distT="127000" distB="203835" distL="0" distR="0" simplePos="0" relativeHeight="125829381" behindDoc="0" locked="0" layoutInCell="1" allowOverlap="1">
                <wp:simplePos x="0" y="0"/>
                <wp:positionH relativeFrom="page">
                  <wp:posOffset>732790</wp:posOffset>
                </wp:positionH>
                <wp:positionV relativeFrom="paragraph">
                  <wp:posOffset>127000</wp:posOffset>
                </wp:positionV>
                <wp:extent cx="1828800" cy="250190"/>
                <wp:wrapTopAndBottom/>
                <wp:docPr id="23" name="Shape 23"/>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7.700000000000003pt;margin-top:10.pt;width:144.pt;height:19.699999999999999pt;z-index:-125829372;mso-wrap-distance-left:0;mso-wrap-distance-top:10.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218440" distB="0" distL="0" distR="1807210" simplePos="0" relativeHeight="125829383" behindDoc="0" locked="0" layoutInCell="1" allowOverlap="1">
            <wp:simplePos x="0" y="0"/>
            <wp:positionH relativeFrom="page">
              <wp:posOffset>3128645</wp:posOffset>
            </wp:positionH>
            <wp:positionV relativeFrom="paragraph">
              <wp:posOffset>218440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3521710</wp:posOffset>
                </wp:positionH>
                <wp:positionV relativeFrom="paragraph">
                  <wp:posOffset>288290</wp:posOffset>
                </wp:positionV>
                <wp:extent cx="1725295" cy="255905"/>
                <wp:wrapNone/>
                <wp:docPr id="27" name="Shape 27"/>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7.30000000000001pt;margin-top:22.699999999999999pt;width:135.84999999999999pt;height:20.15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3835" distL="0" distR="0" simplePos="0" relativeHeight="125829384" behindDoc="0" locked="0" layoutInCell="1" allowOverlap="1">
                <wp:simplePos x="0" y="0"/>
                <wp:positionH relativeFrom="page">
                  <wp:posOffset>6334760</wp:posOffset>
                </wp:positionH>
                <wp:positionV relativeFrom="paragraph">
                  <wp:posOffset>127000</wp:posOffset>
                </wp:positionV>
                <wp:extent cx="880745" cy="250190"/>
                <wp:wrapTopAndBottom/>
                <wp:docPr id="29" name="Shape 29"/>
                <a:graphic xmlns:a="http://schemas.openxmlformats.org/drawingml/2006/main">
                  <a:graphicData uri="http://schemas.microsoft.com/office/word/2010/wordprocessingShape">
                    <wps:wsp>
                      <wps:cNvSpPr txBox="1"/>
                      <wps:spPr>
                        <a:xfrm>
                          <a:ext cx="880745"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wps:txbx>
                      <wps:bodyPr wrap="none" lIns="0" tIns="0" rIns="0" bIns="0">
                        <a:noAutoFit/>
                      </wps:bodyPr>
                    </wps:wsp>
                  </a:graphicData>
                </a:graphic>
              </wp:anchor>
            </w:drawing>
          </mc:Choice>
          <mc:Fallback>
            <w:pict>
              <v:shape id="_x0000_s1055" type="#_x0000_t202" style="position:absolute;margin-left:498.80000000000001pt;margin-top:10.pt;width:69.350000000000009pt;height:19.699999999999999pt;z-index:-125829369;mso-wrap-distance-left:0;mso-wrap-distance-top:10.pt;mso-wrap-distance-right:0;mso-wrap-distance-bottom:16.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Узкий</w:t>
                      </w:r>
                    </w:p>
                  </w:txbxContent>
                </v:textbox>
                <w10:wrap type="topAndBottom" anchorx="page"/>
              </v:shape>
            </w:pict>
          </mc:Fallback>
        </mc:AlternateConten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777777"/>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Узкий Николай Александрович</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0084Е434Е5152Е57С03201780ВА4А68226</w:t>
      </w:r>
    </w:p>
    <w:p>
      <w:pPr>
        <w:pStyle w:val="Style27"/>
        <w:keepNext w:val="0"/>
        <w:keepLines w:val="0"/>
        <w:widowControl w:val="0"/>
        <w:shd w:val="clear" w:color="auto" w:fill="auto"/>
        <w:bidi w:val="0"/>
        <w:spacing w:before="0" w:after="580" w:line="240" w:lineRule="auto"/>
        <w:ind w:right="0" w:firstLine="0"/>
        <w:jc w:val="left"/>
      </w:pPr>
      <w:r>
        <w:rPr>
          <w:color w:val="777777"/>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color w:val="777777"/>
          <w:spacing w:val="0"/>
          <w:w w:val="100"/>
          <w:position w:val="0"/>
          <w:shd w:val="clear" w:color="auto" w:fill="auto"/>
          <w:lang w:val="ru-RU" w:eastAsia="ru-RU" w:bidi="ru-RU"/>
        </w:rPr>
        <w:t>05.06.2025</w:t>
      </w:r>
    </w:p>
    <w:p>
      <w:pPr>
        <w:pStyle w:val="Style9"/>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9"/>
        <w:keepNext w:val="0"/>
        <w:keepLines w:val="0"/>
        <w:widowControl w:val="0"/>
        <w:shd w:val="clear" w:color="auto" w:fill="auto"/>
        <w:bidi w:val="0"/>
        <w:spacing w:before="0" w:after="620" w:line="240" w:lineRule="auto"/>
        <w:ind w:left="0" w:right="0" w:firstLine="660"/>
        <w:jc w:val="left"/>
      </w:pPr>
      <w:r>
        <w:drawing>
          <wp:anchor distT="0" distB="0" distL="114300" distR="1903730" simplePos="0" relativeHeight="125829386" behindDoc="0" locked="0" layoutInCell="1" allowOverlap="1">
            <wp:simplePos x="0" y="0"/>
            <wp:positionH relativeFrom="page">
              <wp:posOffset>3070860</wp:posOffset>
            </wp:positionH>
            <wp:positionV relativeFrom="paragraph">
              <wp:posOffset>25400</wp:posOffset>
            </wp:positionV>
            <wp:extent cx="389890" cy="57277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21"/>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3567430</wp:posOffset>
                </wp:positionH>
                <wp:positionV relativeFrom="paragraph">
                  <wp:posOffset>464185</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7E7E7"/>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9" type="#_x0000_t202" style="position:absolute;margin-left:280.90000000000003pt;margin-top:36.550000000000004pt;width:100.8pt;height:8.1500000000000004pt;z-index:251657731;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7E7E7"/>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153670</wp:posOffset>
                </wp:positionV>
                <wp:extent cx="1725295" cy="255905"/>
                <wp:wrapNone/>
                <wp:docPr id="35" name="Shape 3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77.30000000000001pt;margin-top:12.1pt;width:135.84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А.И. Рахматуллаев</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Рахматуллаев Алексей Ильич</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777777"/>
          <w:spacing w:val="0"/>
          <w:w w:val="100"/>
          <w:position w:val="0"/>
          <w:shd w:val="clear" w:color="auto" w:fill="auto"/>
          <w:lang w:val="ru-RU" w:eastAsia="ru-RU" w:bidi="ru-RU"/>
        </w:rPr>
        <w:t>11</w:t>
      </w:r>
      <w:r>
        <w:rPr>
          <w:color w:val="424242"/>
          <w:spacing w:val="0"/>
          <w:w w:val="100"/>
          <w:position w:val="0"/>
          <w:shd w:val="clear" w:color="auto" w:fill="auto"/>
          <w:lang w:val="ru-RU" w:eastAsia="ru-RU" w:bidi="ru-RU"/>
        </w:rPr>
        <w:t>ВЗВВ45854ОЕВ6С993Е00602С0ЕВЕЕС</w:t>
      </w:r>
    </w:p>
    <w:p>
      <w:pPr>
        <w:pStyle w:val="Style27"/>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24242"/>
          <w:spacing w:val="0"/>
          <w:w w:val="100"/>
          <w:position w:val="0"/>
          <w:shd w:val="clear" w:color="auto" w:fill="auto"/>
          <w:lang w:val="ru-RU" w:eastAsia="ru-RU" w:bidi="ru-RU"/>
        </w:rPr>
        <w:t xml:space="preserve">07.09.2023 </w:t>
      </w:r>
      <w:r>
        <w:rPr>
          <w:color w:val="777777"/>
          <w:spacing w:val="0"/>
          <w:w w:val="100"/>
          <w:position w:val="0"/>
          <w:shd w:val="clear" w:color="auto" w:fill="auto"/>
          <w:lang w:val="ru-RU" w:eastAsia="ru-RU" w:bidi="ru-RU"/>
        </w:rPr>
        <w:t>по 30.11</w:t>
      </w:r>
      <w:r>
        <w:rPr>
          <w:color w:val="424242"/>
          <w:spacing w:val="0"/>
          <w:w w:val="100"/>
          <w:position w:val="0"/>
          <w:shd w:val="clear" w:color="auto" w:fill="auto"/>
          <w:lang w:val="ru-RU" w:eastAsia="ru-RU" w:bidi="ru-RU"/>
        </w:rPr>
        <w:t>.2024</w:t>
      </w:r>
    </w:p>
    <w:p>
      <w:pPr>
        <w:pStyle w:val="Style9"/>
        <w:keepNext w:val="0"/>
        <w:keepLines w:val="0"/>
        <w:widowControl w:val="0"/>
        <w:shd w:val="clear" w:color="auto" w:fill="auto"/>
        <w:bidi w:val="0"/>
        <w:spacing w:before="0" w:after="370" w:line="240" w:lineRule="auto"/>
        <w:ind w:left="1560" w:right="0" w:firstLine="0"/>
        <w:jc w:val="left"/>
      </w:pPr>
      <w:r>
        <w:drawing>
          <wp:anchor distT="0" distB="0" distL="114300" distR="1921510" simplePos="0" relativeHeight="125829387" behindDoc="0" locked="0" layoutInCell="1" allowOverlap="1">
            <wp:simplePos x="0" y="0"/>
            <wp:positionH relativeFrom="page">
              <wp:posOffset>3128645</wp:posOffset>
            </wp:positionH>
            <wp:positionV relativeFrom="paragraph">
              <wp:posOffset>76200</wp:posOffset>
            </wp:positionV>
            <wp:extent cx="311150" cy="36576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3"/>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3521710</wp:posOffset>
                </wp:positionH>
                <wp:positionV relativeFrom="paragraph">
                  <wp:posOffset>146050</wp:posOffset>
                </wp:positionV>
                <wp:extent cx="1725295" cy="255905"/>
                <wp:wrapNone/>
                <wp:docPr id="39" name="Shape 3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7.30000000000001pt;margin-top:11.5pt;width:135.84999999999999pt;height:20.15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Гугава Эдуард Звиадович</w:t>
      </w:r>
    </w:p>
    <w:p>
      <w:pPr>
        <w:pStyle w:val="Style27"/>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008АВСВВ24Э1В04705С4В0130528702ЕАЕ</w:t>
      </w:r>
    </w:p>
    <w:p>
      <w:pPr>
        <w:pStyle w:val="Style27"/>
        <w:keepNext w:val="0"/>
        <w:keepLines w:val="0"/>
        <w:widowControl w:val="0"/>
        <w:shd w:val="clear" w:color="auto" w:fill="auto"/>
        <w:bidi w:val="0"/>
        <w:spacing w:before="0" w:after="274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по </w:t>
      </w:r>
      <w:r>
        <w:rPr>
          <w:color w:val="777777"/>
          <w:spacing w:val="0"/>
          <w:w w:val="100"/>
          <w:position w:val="0"/>
          <w:shd w:val="clear" w:color="auto" w:fill="auto"/>
          <w:lang w:val="ru-RU" w:eastAsia="ru-RU" w:bidi="ru-RU"/>
        </w:rPr>
        <w:t>04.10.2025</w:t>
      </w:r>
    </w:p>
    <w:p>
      <w:pPr>
        <w:pStyle w:val="Style3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Исп.Рахматуллаев А.И. тел.+7 495 784 75 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10147300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2024-44854</w:t>
                          </w:r>
                        </w:p>
                      </w:txbxContent>
                    </wps:txbx>
                    <wps:bodyPr wrap="none" lIns="0" tIns="0" rIns="0" bIns="0">
                      <a:spAutoFit/>
                    </wps:bodyPr>
                  </wps:wsp>
                </a:graphicData>
              </a:graphic>
            </wp:anchor>
          </w:drawing>
        </mc:Choice>
        <mc:Fallback>
          <w:pict>
            <v:shape id="_x0000_s1033" type="#_x0000_t202" style="position:absolute;margin-left:57.pt;margin-top:799.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2024-44854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723900</wp:posOffset>
              </wp:positionH>
              <wp:positionV relativeFrom="page">
                <wp:posOffset>10217150</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2024-44854</w:t>
                          </w:r>
                        </w:p>
                      </w:txbxContent>
                    </wps:txbx>
                    <wps:bodyPr wrap="none" lIns="0" tIns="0" rIns="0" bIns="0">
                      <a:spAutoFit/>
                    </wps:bodyPr>
                  </wps:wsp>
                </a:graphicData>
              </a:graphic>
            </wp:anchor>
          </w:drawing>
        </mc:Choice>
        <mc:Fallback>
          <w:pict>
            <v:shape id="_x0000_s1035" type="#_x0000_t202" style="position:absolute;margin-left:57.pt;margin-top:804.5pt;width:57.100000000000001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2024-44854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723900</wp:posOffset>
              </wp:positionH>
              <wp:positionV relativeFrom="page">
                <wp:posOffset>10147300</wp:posOffset>
              </wp:positionV>
              <wp:extent cx="725170" cy="100330"/>
              <wp:wrapNone/>
              <wp:docPr id="17" name="Shape 1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2024-44854</w:t>
                          </w:r>
                        </w:p>
                      </w:txbxContent>
                    </wps:txbx>
                    <wps:bodyPr wrap="none" lIns="0" tIns="0" rIns="0" bIns="0">
                      <a:spAutoFit/>
                    </wps:bodyPr>
                  </wps:wsp>
                </a:graphicData>
              </a:graphic>
            </wp:anchor>
          </w:drawing>
        </mc:Choice>
        <mc:Fallback>
          <w:pict>
            <v:shape id="_x0000_s1043" type="#_x0000_t202" style="position:absolute;margin-left:57.pt;margin-top:799.pt;width:57.100000000000001pt;height:7.9000000000000004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2024-44854</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5" behindDoc="1" locked="0" layoutInCell="1" allowOverlap="1">
              <wp:simplePos x="0" y="0"/>
              <wp:positionH relativeFrom="page">
                <wp:posOffset>723900</wp:posOffset>
              </wp:positionH>
              <wp:positionV relativeFrom="page">
                <wp:posOffset>10147300</wp:posOffset>
              </wp:positionV>
              <wp:extent cx="725170" cy="100330"/>
              <wp:wrapNone/>
              <wp:docPr id="21" name="Shape 2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2024-44854</w:t>
                          </w:r>
                        </w:p>
                      </w:txbxContent>
                    </wps:txbx>
                    <wps:bodyPr wrap="none" lIns="0" tIns="0" rIns="0" bIns="0">
                      <a:spAutoFit/>
                    </wps:bodyPr>
                  </wps:wsp>
                </a:graphicData>
              </a:graphic>
            </wp:anchor>
          </w:drawing>
        </mc:Choice>
        <mc:Fallback>
          <w:pict>
            <v:shape id="_x0000_s1047" type="#_x0000_t202" style="position:absolute;margin-left:57.pt;margin-top:799.pt;width:57.100000000000001pt;height:7.9000000000000004pt;z-index:-1887440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2024-44854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3926840</wp:posOffset>
              </wp:positionH>
              <wp:positionV relativeFrom="page">
                <wp:posOffset>372745</wp:posOffset>
              </wp:positionV>
              <wp:extent cx="57785" cy="103505"/>
              <wp:wrapNone/>
              <wp:docPr id="3" name="Shape 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9999999999999pt;margin-top:29.350000000000001pt;width:4.5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3927475</wp:posOffset>
              </wp:positionH>
              <wp:positionV relativeFrom="page">
                <wp:posOffset>476250</wp:posOffset>
              </wp:positionV>
              <wp:extent cx="57785" cy="103505"/>
              <wp:wrapNone/>
              <wp:docPr id="5" name="Shape 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25pt;margin-top:37.5pt;width:4.5499999999999998pt;height:8.1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3927475</wp:posOffset>
              </wp:positionH>
              <wp:positionV relativeFrom="page">
                <wp:posOffset>476250</wp:posOffset>
              </wp:positionV>
              <wp:extent cx="57785" cy="103505"/>
              <wp:wrapNone/>
              <wp:docPr id="15" name="Shape 15"/>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9.25pt;margin-top:37.5pt;width:4.5499999999999998pt;height:8.1500000000000004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3927475</wp:posOffset>
              </wp:positionH>
              <wp:positionV relativeFrom="page">
                <wp:posOffset>476250</wp:posOffset>
              </wp:positionV>
              <wp:extent cx="57785" cy="103505"/>
              <wp:wrapNone/>
              <wp:docPr id="19" name="Shape 1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9.25pt;margin-top:37.5pt;width:4.5499999999999998pt;height:8.1500000000000004pt;z-index:-18874405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lvl>
    <w:lvl w:ilvl="1">
      <w:start w:val="1"/>
      <w:numFmt w:val="decimal"/>
      <w:lvlText w:val="%1.%2."/>
    </w:lvl>
    <w:lvl w:ilvl="2">
      <w:start w:val="1"/>
      <w:numFmt w:val="decimal"/>
      <w:lvlText w:val="%1.%2.%3."/>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3"/>
      <w:numFmt w:val="decimal"/>
      <w:lvlText w:val="%1."/>
    </w:lvl>
    <w:lvl w:ilvl="1">
      <w:start w:val="6"/>
      <w:numFmt w:val="decimal"/>
      <w:lvlText w:val="%1.%2."/>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2">
      <w:start w:val="1"/>
      <w:numFmt w:val="decimal"/>
      <w:lvlText w:val="%1.%2.%3."/>
    </w:lvl>
  </w:abstractNum>
  <w:abstractNum w:abstractNumId="8">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6">
    <w:name w:val="Основной текст (4)_"/>
    <w:basedOn w:val="DefaultParagraphFont"/>
    <w:link w:val="Style25"/>
    <w:rPr>
      <w:rFonts w:ascii="Georgia" w:eastAsia="Georgia" w:hAnsi="Georgia" w:cs="Georgia"/>
      <w:b w:val="0"/>
      <w:bCs w:val="0"/>
      <w:i w:val="0"/>
      <w:iCs w:val="0"/>
      <w:smallCaps w:val="0"/>
      <w:strike w:val="0"/>
      <w:color w:val="EBEBEB"/>
      <w:sz w:val="12"/>
      <w:szCs w:val="1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5B5B5B"/>
      <w:sz w:val="12"/>
      <w:szCs w:val="12"/>
      <w:u w:val="none"/>
    </w:rPr>
  </w:style>
  <w:style w:type="character" w:customStyle="1" w:styleId="CharStyle35">
    <w:name w:val="Основной текст (5)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5">
    <w:name w:val="Основной текст (4)"/>
    <w:basedOn w:val="Normal"/>
    <w:link w:val="CharStyle26"/>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7">
    <w:name w:val="Основной текст (2)"/>
    <w:basedOn w:val="Normal"/>
    <w:link w:val="CharStyle28"/>
    <w:pPr>
      <w:widowControl w:val="0"/>
      <w:shd w:val="clear" w:color="auto" w:fill="auto"/>
      <w:ind w:left="3820"/>
    </w:pPr>
    <w:rPr>
      <w:rFonts w:ascii="Arial" w:eastAsia="Arial" w:hAnsi="Arial" w:cs="Arial"/>
      <w:b w:val="0"/>
      <w:bCs w:val="0"/>
      <w:i w:val="0"/>
      <w:iCs w:val="0"/>
      <w:smallCaps w:val="0"/>
      <w:strike w:val="0"/>
      <w:color w:val="5B5B5B"/>
      <w:sz w:val="12"/>
      <w:szCs w:val="12"/>
      <w:u w:val="none"/>
    </w:rPr>
  </w:style>
  <w:style w:type="paragraph" w:customStyle="1" w:styleId="Style34">
    <w:name w:val="Основной текст (5)"/>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