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390" w:right="546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 431-73-73, (831) 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ИК/18001/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жалобе</w:t>
        <w:br/>
        <w:t>№052/06/105-2369/2024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Федеральное казенное учреждение "Управление автомобильной магистрали Москва - Нижний Новгород Федерального дорожного агентства"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603159, Нижегородская область, город Нижний Новгород, Пролетарская ул., д. 18 дх@и4тпп.ги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ООО "АЛЬТЕР-ПРОЕКТ"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ап1оп\\епс1г@т;н1. 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ЭТП «Фабрикант»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709" w:bottom="2196" w:left="1140" w:header="0" w:footer="3" w:gutter="0"/>
          <w:cols w:num="2" w:space="48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123112, город Москва, улица Тестовская, дом 10, этаж 25, помещение 1, комната 1 рГо@е1рх.ги, т&amp;@ГаЪпкапГ.ги</w:t>
      </w: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53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№ 052/06/105-2369/2024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456690" cy="21971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25 сентября 2024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550000000000004pt;margin-top:1.pt;width:114.7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25 сентября 2024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45"/>
        <w:gridCol w:w="8194"/>
      </w:tblGrid>
      <w:tr>
        <w:trPr>
          <w:trHeight w:val="8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Канаева И.С.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Клевцова А.А.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комиссии, заместитель руководителя управления;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начальник отдела контроля государственных и муниципальных закупок,</w:t>
            </w:r>
          </w:p>
        </w:tc>
      </w:tr>
      <w:tr>
        <w:trPr>
          <w:trHeight w:val="5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Войнова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ведущий специалист-эксперт отдела контроля государственных и муниципальных закупок,</w:t>
            </w:r>
          </w:p>
        </w:tc>
      </w:tr>
    </w:tbl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видео-конференц-связи:</w:t>
      </w:r>
    </w:p>
    <w:p>
      <w:pPr>
        <w:widowControl w:val="0"/>
        <w:spacing w:after="2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Подсобляева А.А. - представителя ФКУ «УПРДОР Москва - Нижний Новгород»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(доверенность №106/д от 02.09.2024),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видеоконферецсвязи жалобу Общества с ограниченной ответственностью "АЛЬТЕР-ПРОЕКТ" (далее также - "АЛЬТЕР-ПРОЕКТ", общество, заявитель) на действия Федерального казенного учреждения "Управление автомобильной магистрали Москва - Нижний Новгород Федерального дорожного агентства" (далее также — Заказчик) при определении поставщика путем проведения открытый конкурс в электронной форме на право заключения контракта по объекту закупки: «Выполнение проектно-изыскательских работ по объекту: Капитальный ремонт автомобильной дороги Р-132 "Золотое кольцо" Ярославль - Кострома 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Иваново - Владимир - Гусь-Хрустальный - Рязань - Михайлов - Тула - Калуга - Вязьма - Ржев - Тверь - Углич - Ярославль, (уч. Иваново - Владимир) на участке км 177+360 - км 182+530, Ивановская область», номер извещения 0348100006024000023,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закупки: « Выполнение проектно-изыскательских работ по объекту: Капитальный ремонт автомобильной дороги Р-132 "Золотое кольцо" Ярославль - Кострома - Иваново - Владимир - Гусь-Хрустальный - Рязань - Михайлов - Тула - Калуга - Вязьма - Ржев - Тверь - Углич - Ярославль, (уч. Иваново - Владимир) на участке км 177+360 - км 182+530, Ивановская область», номер извещения 0348100006024000023.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10.09.2024 в единой информационной системе и на сайте электронной площадки - «Фабрикант» - размещено извещение о проведении открытого конкурса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- 13 369 600,00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По мнению заявителя, требование Заказчика об установлении критерия оценки «Характеристики объекта закупки» показатель «Качественные характеристики объекта закупки» (качество работ) завышенные, и шкала оценки Заказчика не является пропорциональной, она не отображает прямой зависимости наличия баллов от указанных участниками сведений.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 Заказчиком не раскрыты требования по каждому свойству в должной мере, что может создать различные интерпретации со стороны участников закупки, и как следствие, дает возможность Заказчику субъективно оценивать предоставленные сведения.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том числе Заявитель жалобы считает, что заказчиком установлен ненадлежащий порядок оценки, ограничивающий конкуренцию и нарушающий требования Постановления Правительства Российской Федерации от 21.12.2021 № 2604.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части 2 статьи 24 Закона о контрактной системе предусмотрено, что конкурентным способом определения поставщиков является, в том числе, проведения открытого конкурса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пунктам 5,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в том числе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критерии оценки заявок на участие в конкурсах, величины значимости этих критериев в соответствии с настоящим Федеральным законом.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3,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порядок рассмотрения и оценки заявок на участие в конкурсах в соответствии с настоящим Федеральным законом.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8 статьи 32 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31.12.2021 № 2604 утверждено Положение об оценке заявок на участие в закупке товаров, работ, услуг для обеспечения государственных и муниципальных нужд (далее — Положение).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Положения «оценка заявок» -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 Положения для оценки заявок в соответствии с Положением применяются следующие критерии оценки: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расходы;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объекта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квалификация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16 и 17 Положения определено, что для оценки заявок по критерию оценки "характеристики объекта закупки"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качественные характеристики объекта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функциональные характеристики объекта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экологические характеристики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оценки заявок по показателям оценки, предусмотренным пунктом 16 настоящего Положения, применяются детализирующие показатели, предусматривающие оценку различных характеристик, образующих такие показатели оценки.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извещением о проведении открытого конкурса в электронной форме установлен следующий порядок рассмотрения и оценки заявок: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Баллы по значению критерия присваиваются от 0 до 100 в зависимости от степени проработанности предложения (сведений, предусмотренных Разделом III) участника открытого конкурса в электронной форме, исходя из оценки возможностей участника качественно и в срок выполнить работы по предмету конкурса.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оценке сведений, предусмотренных Разделом III, баллы выставляются исходя из следующего: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7" w:val="left"/>
        </w:tabs>
        <w:bidi w:val="0"/>
        <w:spacing w:before="0" w:after="0" w:line="331" w:lineRule="auto"/>
        <w:ind w:left="0" w:right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100 баллов: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предоставление всех сведений, информации, предусмотренных приложением №3 к извещению, полное описание порядка выполнения работ, соответствующих требованиям извещения;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7" w:val="left"/>
        </w:tabs>
        <w:bidi w:val="0"/>
        <w:spacing w:before="0" w:after="0" w:line="331" w:lineRule="auto"/>
        <w:ind w:left="0" w:right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 баллов: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предоставление сведений не в полном объеме, т.е. не всех сведений, предоставление которых предусмотрено приложением №3 к извещению;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63" w:val="left"/>
        </w:tabs>
        <w:bidi w:val="0"/>
        <w:spacing w:before="0" w:after="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сведения представлены без привязки к Объекту, т.е. представленные сведения, информация не относятся и/или не соответствуют Объекту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92" w:val="left"/>
        </w:tabs>
        <w:bidi w:val="0"/>
        <w:spacing w:before="0" w:after="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противоречий, несоответствий в пояснительной записке требованиям, установленным в извещении и приложениях к нему, предусмотренных частью 2 статьи 42 Закона о контрактной системе»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на заседании Комиссии Нижегородского УФАС России пояснил, что если несколько заявок будут соответствовать всем необходимым требованиям (предоставление всех сведений, информации, предусмотренных приложением №3 к извещению, полное описание порядка выполнения работ), то каждая такая заявка может получить наибольшее количество баллов по спорному критерию (Характеристика объекта закупки).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 надлежащем формировании сведений в составе пояснительной записки права и законные интересы как самого подателя жалобы, так и иных участников закупки не могут быть нарушены.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жалоба заявителя признается Комиссией Нижегородского УФАС России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"АЛЬТЕР-ПРОЕКТ" о нарушении Федеральным казенным учреждением "Управление автомобильной магистрали Москва - Нижний Новгород Федерального дорожного агентства" требований законодательства Российской Федерации о контрактной системе в сфере закупок при осуществлении закупки путем проведения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открытого конкурса в электронной форме для обеспечения нужд заказчика по объекту закупки: «Выполнение проектно-изыскательских работ по объекту: Капитальный ремонт автомобильной дороги Р-132 "Золотое кольцо" Ярославль - Кострома - Иваново - Владимир - Гусь-Хрустальный - Рязань - Михайлов - Тула - Калуга - Вязьма - Ржев - Тверь - Углич - Ярославль, (уч. Иваново - Владимир) на участке км 177+360 - км 182+530, Ивановская область», номер извещения 0348100006024000023,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28" w:bottom="1539" w:left="109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56870" distL="0" distR="0" simplePos="0" relativeHeight="125829380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342900</wp:posOffset>
                </wp:positionV>
                <wp:extent cx="182880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550000000000004pt;margin-top:27.pt;width:144.pt;height:19.900000000000002pt;z-index:-125829373;mso-wrap-distance-left:0;mso-wrap-distance-top:2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925" distB="0" distL="0" distR="1786255" simplePos="0" relativeHeight="125829382" behindDoc="0" locked="0" layoutInCell="1" allowOverlap="1">
            <wp:simplePos x="0" y="0"/>
            <wp:positionH relativeFrom="page">
              <wp:posOffset>3175635</wp:posOffset>
            </wp:positionH>
            <wp:positionV relativeFrom="paragraph">
              <wp:posOffset>415925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3632835</wp:posOffset>
                </wp:positionH>
                <wp:positionV relativeFrom="paragraph">
                  <wp:posOffset>818515</wp:posOffset>
                </wp:positionV>
                <wp:extent cx="128016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6.05000000000001pt;margin-top:64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3590290</wp:posOffset>
                </wp:positionH>
                <wp:positionV relativeFrom="paragraph">
                  <wp:posOffset>507365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2.69999999999999pt;margin-top:39.95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56870" distL="0" distR="0" simplePos="0" relativeHeight="125829383" behindDoc="0" locked="0" layoutInCell="1" allowOverlap="1">
                <wp:simplePos x="0" y="0"/>
                <wp:positionH relativeFrom="page">
                  <wp:posOffset>6189980</wp:posOffset>
                </wp:positionH>
                <wp:positionV relativeFrom="paragraph">
                  <wp:posOffset>342900</wp:posOffset>
                </wp:positionV>
                <wp:extent cx="1024255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7.40000000000003pt;margin-top:27.pt;width:80.650000000000006pt;height:19.900000000000002pt;z-index:-125829370;mso-wrap-distance-left:0;mso-wrap-distance-top:2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0ОЕ96ВС66979СВВ6ЕАЕВЕ7240Е54АСЕО2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}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27" w:bottom="157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19075" distL="0" distR="0" simplePos="0" relativeHeight="125829385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7.550000000000004pt;margin-top:7.pt;width:105.60000000000001pt;height:19.699999999999999pt;z-index:-125829368;mso-wrap-distance-left:0;mso-wrap-distance-top:7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7" behindDoc="0" locked="0" layoutInCell="1" allowOverlap="1">
            <wp:simplePos x="0" y="0"/>
            <wp:positionH relativeFrom="page">
              <wp:posOffset>3178175</wp:posOffset>
            </wp:positionH>
            <wp:positionV relativeFrom="paragraph">
              <wp:posOffset>161925</wp:posOffset>
            </wp:positionV>
            <wp:extent cx="347345" cy="39624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3589655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2.65000000000003pt;margin-top:19.699999999999999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219075" distL="0" distR="0" simplePos="0" relativeHeight="125829388" behindDoc="0" locked="0" layoutInCell="1" allowOverlap="1">
                <wp:simplePos x="0" y="0"/>
                <wp:positionH relativeFrom="page">
                  <wp:posOffset>6073775</wp:posOffset>
                </wp:positionH>
                <wp:positionV relativeFrom="paragraph">
                  <wp:posOffset>88900</wp:posOffset>
                </wp:positionV>
                <wp:extent cx="113982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Клевцова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8.25pt;margin-top:7.pt;width:89.75pt;height:19.699999999999999pt;z-index:-125829365;mso-wrap-distance-left:0;mso-wrap-distance-top:7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Клевцова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00ПЕЕВ9861СС2С343552ОАСА885Е93799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18970" simplePos="0" relativeHeight="125829390" behindDoc="0" locked="0" layoutInCell="1" allowOverlap="1">
            <wp:simplePos x="0" y="0"/>
            <wp:positionH relativeFrom="page">
              <wp:posOffset>3196590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3589655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2.65000000000003pt;margin-top:11.5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М.К. Войнова</w:t>
      </w:r>
      <w:bookmarkEnd w:id="10"/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Войнова Мария Константиновна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20ОА7С6Р61АСВЕ916СЕ69838В5ЮЕА91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4640" w:line="240" w:lineRule="auto"/>
        <w:ind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26.03.2024 по 19.06.2025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27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779780</wp:posOffset>
              </wp:positionH>
              <wp:positionV relativeFrom="page">
                <wp:posOffset>10205085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2024-20457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1.399999999999999pt;margin-top:803.55000000000007pt;width:57.100000000000001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2024-20457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2024-20457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200000000000003pt;margin-top:790.35000000000002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2024-20457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24">
    <w:name w:val="Подпись к таблиц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3">
    <w:name w:val="Подпись к таблице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100"/>
      <w:ind w:left="46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