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9930" distB="1045845" distL="312420" distR="264160" simplePos="0" relativeHeight="125829379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722630</wp:posOffset>
                </wp:positionV>
                <wp:extent cx="2249170" cy="15055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505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1A3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1о61@Га5.§оу.П1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3.25pt;margin-top:56.899999999999999pt;width:177.09999999999999pt;height:118.55pt;z-index:-125829374;mso-wrap-distance-left:24.600000000000001pt;mso-wrap-distance-top:55.899999999999999pt;mso-wrap-distance-right:20.800000000000001pt;mso-wrap-distance-bottom:82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1A3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1о61@Га5.§оу.П1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70760" distB="792480" distL="181610" distR="1525905" simplePos="0" relativeHeight="125829381" behindDoc="0" locked="0" layoutInCell="1" allowOverlap="1">
            <wp:simplePos x="0" y="0"/>
            <wp:positionH relativeFrom="page">
              <wp:posOffset>799465</wp:posOffset>
            </wp:positionH>
            <wp:positionV relativeFrom="paragraph">
              <wp:posOffset>2283460</wp:posOffset>
            </wp:positionV>
            <wp:extent cx="1121410" cy="20129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2141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2627630</wp:posOffset>
                </wp:positionV>
                <wp:extent cx="2578735" cy="1612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649999999999999pt;margin-top:206.90000000000001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081655" distB="0" distL="117475" distR="114300" simplePos="0" relativeHeight="125829382" behindDoc="0" locked="0" layoutInCell="1" allowOverlap="1">
            <wp:simplePos x="0" y="0"/>
            <wp:positionH relativeFrom="page">
              <wp:posOffset>735330</wp:posOffset>
            </wp:positionH>
            <wp:positionV relativeFrom="paragraph">
              <wp:posOffset>3094355</wp:posOffset>
            </wp:positionV>
            <wp:extent cx="2597150" cy="18288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«Уралмедснаб»</w:t>
      </w:r>
      <w:bookmarkEnd w:id="2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Заявитель)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Кунгурцева, 23, оф. 4, г. Ижевск, Г.О.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Ижевск, Удмуртская Республика, 426025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с1\'1о1п73@уапс1ех.ги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«Детская городская поликлиника №2» в г. Таганроге</w:t>
      </w:r>
      <w:bookmarkEnd w:id="6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пер. Каркасный, д. 2, г. Таганрог,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Ростовская область, 347910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Пдр21адапгод@таП.ш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  <w:bookmarkEnd w:id="9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Оператор электронной площадки)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ко@118-(епНег.ш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№061/06/49-3457/2024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tabs>
          <w:tab w:pos="83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25.09.2024</w:t>
        <w:tab/>
        <w:t>г. Ростов-на-Дону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8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С.В. Батурин,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В.Д. Кириленко,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9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Вертий, рассмотрев дело №061/06/49-3457/2024 по жалобе Заявителя о нарушении аукционной комиссией Заказчика при проведении электронного аукциона №0358300066724000013 «Поставка медицинских изделий: Дефибриллятор внешний автоматический для профессионального использования с питанием от аккумуляторной батареи (дефибриллятор кардиосинхронизированный)»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в присутствии представителя Заявителя — Мулявка С.А. (доверенность от 22.09.2023), при личном участии представителя Заказчика — Гусева А.С. (доверенность от 15.01.2024 №38),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ООО «Уралмедснаб» на действия аукционной комиссии ГБУ РО «Детская городская поликлиника №2» в г. Таганроге.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-отрицал нарушения Закона в действиях аукционной комиссии;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-представил пояснения по доводу жалобы.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1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^^^..2акирк1 ,доу. 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06.09.2024 размещено извещение о проведении закупки №0358300066724000013, согласно которому: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-установлены дата и время окончания подачи заявок - 16.09.2024 09:00 (МСК);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-начальная (максимальная) цена контракта (НМЦК) составила 318 000, 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№ИЭА1 от 18.09.2024 на участие подано 6 (шесть) заявок, 5 (пять) из которых признаны соответствующими требованиям извещения. Заявка Заявителя (117289941) отклонена по причине несоответствия требованиям нормативных правовых актов, принятых в соответствии со ст.14 Закона (п.4 ч.12 ст.48 Закона).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Закупка осуществляется в рамках реализации национального проекта «Здравоохранение».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товар, предложенный Победителем не соответствует требованиям извещения, поскольку не имеет функции «кардиосинхронизация».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дела Комиссией Ростовского УФАС России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п.5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п.1 ч.2 ст.42 Закона,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указанной нормы Постановлением Правительства РФ от 08.02.2017 ^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п.4 Правил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^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8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извещению, закупка медицинского оборудования осуществляется в соответствии с Разделом I "Перечень медицинских изделий" Приказа Минздрава России от 28.12.2020 ^ 1379н "Об 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здравоохранения" в рамках региональной программы «Модернизация первичного звена здравоохранения» (далее — Постановление ^ 1379н) (Постановление Правительства Ростовской области от 15.12.2020 ^ 360).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^ 1379н утвержден</w:t>
      </w:r>
      <w:r>
        <w:fldChar w:fldCharType="begin"/>
      </w:r>
      <w:r>
        <w:rPr/>
        <w:instrText> HYPERLINK "https://login.consultant.ru/link/?req=doc&amp;base=LAW&amp;n=391533&amp;dst=100011"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перечень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I "Перечень медицинских изделий"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(введено </w:t>
      </w:r>
      <w:r>
        <w:fldChar w:fldCharType="begin"/>
      </w:r>
      <w:r>
        <w:rPr/>
        <w:instrText> HYPERLINK "https://login.consultant.ru/link/?req=doc&amp;base=LAW&amp;n=391473&amp;dst=100010"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Минздрава России от 14.05.2021 ^ 450н)</w:t>
      </w:r>
    </w:p>
    <w:tbl>
      <w:tblPr>
        <w:tblOverlap w:val="never"/>
        <w:jc w:val="center"/>
        <w:tblLayout w:type="fixed"/>
      </w:tblPr>
      <w:tblGrid>
        <w:gridCol w:w="461"/>
        <w:gridCol w:w="2726"/>
        <w:gridCol w:w="1531"/>
        <w:gridCol w:w="5448"/>
      </w:tblGrid>
      <w:tr>
        <w:trPr>
          <w:trHeight w:val="13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^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оборудования (медицинского изделия)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Код вида номенклатурной </w:t>
            </w:r>
            <w:r>
              <w:fldChar w:fldCharType="begin"/>
            </w:r>
            <w:r>
              <w:rPr/>
              <w:instrText> HYPERLINK "https://login.consultant.ru/link/?req=doc&amp;base=LAW&amp;n=359764&amp;dst=2"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классификации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 медицинских изделий </w:t>
            </w:r>
            <w:r>
              <w:fldChar w:fldCharType="begin"/>
            </w:r>
            <w:r>
              <w:rPr/>
              <w:instrText> HYPERLINK "https://login.consultant.ru/link/?req=doc&amp;base=LAW&amp;n=391533&amp;dst=100831"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&lt;1&gt;</w:t>
            </w:r>
            <w:r>
              <w:fldChar w:fldCharType="end"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Наименование вида медицинского изделия в соответствии с номенклатурной </w:t>
            </w:r>
            <w:r>
              <w:fldChar w:fldCharType="begin"/>
            </w:r>
            <w:r>
              <w:rPr/>
              <w:instrText> HYPERLINK "https://login.consultant.ru/link/?req=doc&amp;base=LAW&amp;n=359764&amp;dst=2"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классификацией</w:t>
            </w:r>
            <w:r>
              <w:fldChar w:fldCharType="end"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 медицинских изделий</w:t>
            </w:r>
          </w:p>
        </w:tc>
      </w:tr>
      <w:tr>
        <w:trPr>
          <w:trHeight w:val="44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Дефибриллятор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u w:val="single"/>
                <w:shd w:val="clear" w:color="auto" w:fill="auto"/>
                <w:lang w:val="ru-RU" w:eastAsia="ru-RU" w:bidi="ru-RU"/>
              </w:rPr>
              <w:t>кардиосинхронизированный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119850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Дефибриллятор внешний с ручным управлением</w:t>
            </w:r>
          </w:p>
        </w:tc>
      </w:tr>
      <w:tr>
        <w:trPr>
          <w:trHeight w:val="90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126500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u w:val="single"/>
                <w:shd w:val="clear" w:color="auto" w:fill="auto"/>
                <w:lang w:val="ru-RU" w:eastAsia="ru-RU" w:bidi="ru-RU"/>
              </w:rP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</w:tr>
      <w:tr>
        <w:trPr>
          <w:trHeight w:val="91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262440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Дефибриллятор внешний полуавтоматический для профессионального использования с питанием от не перезаряжаемой батареи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4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аукциона содержит следующие сведения и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 — «Дефибриллятор внешний автоматический для профессионального использования с питанием от аккумуляторной батареи (дефиблиллятор кардиосинхронизированный)»;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 — «Дефибриллятор внешний автоматический для профессионального использования с питанием от аккумуляторной батареи», позиция Каталога 26.60.13.190-00000477 «Дефибриллятор внешний для профессионального использования».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Наряду с вышеуказанной информацией извещение содержит предусмотренные ч.2 ст.42 Закона электронные документы.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в извещении наименование товара соответствует наименованию товара, указанному в прикрепленном к извещению электронном документе «Описание объекта закупки» — «Дефибриллятор внешний для профессионального использования».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информация, содержащаяся в извещении позволяет однозначно определить объект закупки, товар, его характеристики и требования и иную информацию, предусмотренную Законом.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приобретаемому медицинскому оборудованию сформированы в строгом соответствии с позицией Каталога 26.60.13.190-00000477, в которую включены следующие характеристики: «время накопления заряда», «максимальное значение энергии дефибрилляции», «минимальное значение энергии дефибрилляции», «подключение к ПК», «пульсоксиметрия», «регистрация ЭКЗ в 12 отделениях», «режим Дети», «режим работы», «тип электрода», «форма импульса».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Характеристика «функция кардиосинхронизации» отсутствует в соответствующей позиции Каталога, описании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подпунктом «а» п.2 ч.1 ст.43 Закона для участия в конкурентном способе заявка на участие в закупке, если иное не предусмотрено настоящим Федеральным законом,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должна содержать предложение участника закупки в отношении объекта закупки с учетом положений части 2 настоящей статьи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характеристики предлагаемого участником закупки товара, соответствующие показателям, установленным в описании объекта закупки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в соответствии с частью 2 статьи 33 настоящего Федерального закона, товарный знак (при наличии у товара товарного знака).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fldChar w:fldCharType="begin"/>
      </w:r>
      <w:r>
        <w:rPr/>
        <w:instrText> HYPERLINK "https://www.consultant.ru/document/cons_doc_LAW_446209/d6aec91603ff628ea274b8552ce2849e06e0aa4c/%23dst2234"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п./п.а) п.1 ч.5 ст.49 Закона не позднее двух рабочих дней со дня,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</w:t>
      </w:r>
      <w:r>
        <w:fldChar w:fldCharType="begin"/>
      </w:r>
      <w:r>
        <w:rPr/>
        <w:instrText> HYPERLINK "https://www.consultant.ru/document/cons_doc_LAW_446209/d6aec91603ff628ea274b8552ce2849e06e0aa4c/%23dst2234"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закупки или об отклонении заявки на участие в закупке по основаниям, предусмотренным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"https://www.consultant.ru/document/cons_doc_LAW_446209/d6aec91603ff628ea274b8552ce2849e06e0aa4c/%23dst2234"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пунктами 1 - 8 части 12 статьи 48 настоящего Федерального закона.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заявки, представленные Оператором электронной площадки, Комиссией установлено, что характеристики предлагаемого Победителем товара соответствуют показателям, установленным в описании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Заявителя в ходе заседания не смог пояснить каким характеристикам, изложенным в описании объекта закупки, не соответствует товар, предложенный Победителем.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изложенного, аукционная комиссия Заказчика при принятии решения о соответствии заявки участника требованиям извещения действовала правомерно. Довод жалобы не нашел своего подтверждения.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п.3 ч.2 ст.42 Закона, извещение об осуществлении закупки, если иное не предусмотрено настоящим Федеральным законом, должно содержать, в том числе, следующий электронный документ: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 заявки на участие в конкурентном способе установлены в ст.43 Закона, среди которых: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и документы об участнике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участника закупки в отношении объекта закупки: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участника закупки о цене контракта (за исключением случая, предусмотренного пунктом 4 настоящей части);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участника закупки о сумме цен единиц товара, работы, услуги (в случае, предусмотренном частью 24 статьи 22 настоящего Федерального закона);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этом, статьей 49 Закона определен порядок проведения электронного аукциона, содержание заявки на участие в названном конкурентном способе (ч.1 ст.49 Закона), согласно которому заявка на участие в закупке должна содержать информацию и документы,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предусмотренные подпунктами "м" - "п" пункта 1,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подпунктами "а" - "в" пункта 2,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пунктом 5 части 1 статьи 43 Закона. Заявка также может содержать информацию и документы, предусмотренные подпунктом "д" пункта 2 части 1 статьи 43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определении поставщика (подрядчика, исполнителя) путем применения открытых конкурентных способов заказчику необходимо руководствоваться общими положениями к содержанию заявки с учетом специальных норм для конкретного способа.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установленным Заказчиком требованиям к содержанию, составу заявки на участие в закупке, в составе заявки участнику необходимо предоставить, помимо прочего: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«6) предложение участника закупки о цене контракта.».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Заказчиком установлены требования к содержанию и составу заявки о предоставлении участником закупки в составе заявки предложения о цене контракта в нарушение ч.1 ст.49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п.5 ч.1 ст.43 Закона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закупки правомерно установлено ограничение допуска в соответствии с положениями Постановления Правительства РФ от 10.07.2019 ^ 878 «Постановление Правительства РФ от 10.07.2019 ^ 878 (ред. от 09.12.2023)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Федерации» (далее - Постановление ^ 878).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3(2) Постановления ^ 878 в целях реализации настоящего постановления: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</w:t>
      </w: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правила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в нарушение ч.2 ст.42 Закона, требованиями к содержанию и составу заявки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определен перечень документов, подтверждающих соответствие приобретаемого товара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положениям Постановления ^ 878.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положениями Закона,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нужд, Комиссия выдает предписание об устранении допущенных нарушений. Комиссия вправе не выдавать предписание только в случае выявления нарушений законодательства Российской Федерации и иных нормативных правовых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актов о контрактной системе, которые не повлияли или не могли повлиять на результаты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на участие в конкурсе подано 6 (шесть) заявок, 5 (пять) из которых в установленном порядке подтвердили соответствие предлагаемого товара</w:t>
      </w: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положениям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"https://login.consultant.ru/link/?req=doc&amp;base=LAW&amp;n=477674&amp;dst=100068"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Постановления ^ 878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нарушение, установленное при проведении внеплановой проверки в данном случае не привело к принятию неправильного решения. Руководствуясь Законом, основания для выдачи предписания о внесении изменений в извещение о проведении аукциона отсутствуют, поскольку действия Заказчика не повлияли и не могли повлиять на результаты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№728, в соответствии с ч.15 ст.99, ч.8 ст.106 Закона,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8"/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4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необоснованной.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ч.2 ст.42, ч.1 ст.49 Закона.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5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указанного нарушения Закона не выдавать, поскольку оно не повлияло на результат определения победителя.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5" w:val="left"/>
        </w:tabs>
        <w:bidi w:val="0"/>
        <w:spacing w:before="0" w:after="24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"https://login.consultant.ru/link/?req=doc&amp;base=LAW&amp;n=208550"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fldChar w:fldCharType="begin"/>
      </w:r>
      <w:r>
        <w:rPr/>
        <w:instrText> HYPERLINK "https://login.consultant.ru/link/?req=doc&amp;base=LAW&amp;n=208550"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Батурин</w:t>
      </w:r>
      <w:r>
        <w:fldChar w:fldCharType="end"/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338" w:lineRule="auto"/>
        <w:ind w:right="0" w:firstLine="0"/>
        <w:jc w:val="both"/>
      </w:pPr>
      <w:bookmarkStart w:id="20" w:name="bookmark2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дня подписи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Батурин С- В.</w:t>
      </w:r>
      <w:bookmarkEnd w:id="2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fldChar w:fldCharType="begin"/>
      </w:r>
      <w:r>
        <w:rPr/>
        <w:instrText> HYPERLINK "https://login.consultant.ru/link/?req=doc&amp;base=LAW&amp;n=208550"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В.Д. Кириленко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40" w:line="240" w:lineRule="auto"/>
        <w:ind w:right="0" w:firstLine="0"/>
        <w:jc w:val="both"/>
      </w:pPr>
      <w:bookmarkStart w:id="22" w:name="bookmark2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дня подписи</w:t>
      </w:r>
      <w:bookmarkEnd w:id="22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600" w:line="240" w:lineRule="auto"/>
        <w:ind w:right="0" w:firstLine="0"/>
        <w:jc w:val="both"/>
        <w:rPr>
          <w:sz w:val="24"/>
          <w:szCs w:val="24"/>
        </w:rPr>
      </w:pPr>
      <w:bookmarkStart w:id="24" w:name="bookmark24"/>
      <w:r>
        <w:rPr>
          <w:rFonts w:ascii="Arial" w:eastAsia="Arial" w:hAnsi="Arial" w:cs="Arial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Кириленко В. Д.</w:t>
      </w:r>
      <w:bookmarkEnd w:id="2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40" w:line="240" w:lineRule="auto"/>
        <w:ind w:right="0" w:firstLine="0"/>
        <w:jc w:val="both"/>
      </w:pPr>
      <w:bookmarkStart w:id="26" w:name="bookmark26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дм подписи</w:t>
      </w:r>
      <w:bookmarkEnd w:id="26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1920" w:line="240" w:lineRule="auto"/>
        <w:ind w:right="0" w:firstLine="0"/>
        <w:jc w:val="both"/>
        <w:rPr>
          <w:sz w:val="24"/>
          <w:szCs w:val="24"/>
        </w:rPr>
      </w:pPr>
      <w:bookmarkStart w:id="28" w:name="bookmark28"/>
      <w:r>
        <w:rPr>
          <w:rFonts w:ascii="Arial" w:eastAsia="Arial" w:hAnsi="Arial" w:cs="Arial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ВертмЙ А. А.</w:t>
      </w:r>
      <w:bookmarkEnd w:id="28"/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Исп.Вертий А.А.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30" w:right="522" w:bottom="1190" w:left="108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10006965</wp:posOffset>
              </wp:positionV>
              <wp:extent cx="326771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2024-19379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7.95000000000005pt;width:257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2024-19379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10001250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2024-19379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649999999999999pt;margin-top:787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2024-19379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9"/>
      <w:szCs w:val="19"/>
      <w:u w:val="none"/>
    </w:rPr>
  </w:style>
  <w:style w:type="character" w:customStyle="1" w:styleId="CharStyle11">
    <w:name w:val="Заголовок №3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2">
    <w:name w:val="Подпись к таблиц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Заголовок №2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9898A"/>
      <w:sz w:val="26"/>
      <w:szCs w:val="26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9"/>
      <w:szCs w:val="19"/>
      <w:u w:val="none"/>
    </w:rPr>
  </w:style>
  <w:style w:type="paragraph" w:customStyle="1" w:styleId="Style10">
    <w:name w:val="Заголовок №3"/>
    <w:basedOn w:val="Normal"/>
    <w:link w:val="CharStyle11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1">
    <w:name w:val="Подпись к таблиц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auto"/>
      <w:spacing w:after="480"/>
      <w:ind w:left="33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9898A"/>
      <w:sz w:val="26"/>
      <w:szCs w:val="26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