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5"/>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w:t>
      </w:r>
      <w:r>
        <w:rPr>
          <w:spacing w:val="0"/>
          <w:w w:val="100"/>
          <w:position w:val="0"/>
          <w:shd w:val="clear" w:color="auto" w:fill="auto"/>
          <w:vertAlign w:val="subscript"/>
          <w:lang w:val="ru-RU" w:eastAsia="ru-RU" w:bidi="ru-RU"/>
        </w:rPr>
        <w:t>;</w:t>
      </w:r>
      <w:r>
        <w:rPr>
          <w:spacing w:val="0"/>
          <w:w w:val="100"/>
          <w:position w:val="0"/>
          <w:shd w:val="clear" w:color="auto" w:fill="auto"/>
          <w:lang w:val="ru-RU" w:eastAsia="ru-RU" w:bidi="ru-RU"/>
        </w:rPr>
        <w:t>Таа.ао\'.ги</w:t>
      </w:r>
    </w:p>
    <w:p>
      <w:pPr>
        <w:pStyle w:val="Style8"/>
        <w:keepNext w:val="0"/>
        <w:keepLines w:val="0"/>
        <w:widowControl w:val="0"/>
        <w:shd w:val="clear" w:color="auto" w:fill="auto"/>
        <w:tabs>
          <w:tab w:leader="underscore" w:pos="1762" w:val="left"/>
          <w:tab w:leader="underscore" w:pos="3926" w:val="left"/>
        </w:tabs>
        <w:bidi w:val="0"/>
        <w:spacing w:before="0" w:after="240" w:line="264" w:lineRule="auto"/>
        <w:ind w:left="0" w:right="0" w:firstLine="0"/>
        <w:jc w:val="both"/>
        <w:rPr>
          <w:sz w:val="18"/>
          <w:szCs w:val="18"/>
        </w:rPr>
      </w:pPr>
      <w:r>
        <w:rPr>
          <w:b w:val="0"/>
          <w:bCs w:val="0"/>
          <w:spacing w:val="0"/>
          <w:w w:val="100"/>
          <w:position w:val="0"/>
          <w:sz w:val="18"/>
          <w:szCs w:val="18"/>
          <w:shd w:val="clear" w:color="auto" w:fill="auto"/>
          <w:lang w:val="ru-RU" w:eastAsia="ru-RU" w:bidi="ru-RU"/>
        </w:rPr>
        <w:tab/>
        <w:t xml:space="preserve"> №</w:t>
        <w:tab/>
      </w:r>
    </w:p>
    <w:p>
      <w:pPr>
        <w:pStyle w:val="Style1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Филиалу ФГУП «Охрана»</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Росгвардии по Красноярскому краю ул. Новая Заря, 14А, г. Красноярск, 660028</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кга8поуаг8к@Гдир-оЬгапа.ги</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КГБУ «Многофункциональный центр предоставления государственных и муниципальных услуг»</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9 Мая, д. 12, пом. 462</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 Красноярск, 660125</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тГс@24тГс.ш; ^81атди1оVа@24т^с.ш</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Агентству государственного заказа</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Красноярского края</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пр-т Мира, д. 10, оф. 53</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 Красноярск, 660049</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адх_рпет@таП.ги; адх 1та81о\@1таП.ги</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АО «Сбербанк-АСТ»</w:t>
      </w:r>
    </w:p>
    <w:p>
      <w:pPr>
        <w:pStyle w:val="Style13"/>
        <w:keepNext w:val="0"/>
        <w:keepLines w:val="0"/>
        <w:widowControl w:val="0"/>
        <w:shd w:val="clear" w:color="auto" w:fill="auto"/>
        <w:bidi w:val="0"/>
        <w:spacing w:before="0" w:after="0" w:line="240" w:lineRule="auto"/>
        <w:ind w:left="0" w:right="0" w:firstLine="0"/>
        <w:jc w:val="left"/>
        <w:sectPr>
          <w:footerReference w:type="default" r:id="rId9"/>
          <w:footerReference w:type="first" r:id="rId10"/>
          <w:footnotePr>
            <w:pos w:val="pageBottom"/>
            <w:numFmt w:val="decimal"/>
            <w:numRestart w:val="continuous"/>
          </w:footnotePr>
          <w:pgSz w:w="11900" w:h="16840"/>
          <w:pgMar w:top="284" w:right="1088" w:bottom="1217" w:left="1140" w:header="0" w:footer="3" w:gutter="0"/>
          <w:pgNumType w:start="1"/>
          <w:cols w:num="2" w:space="859"/>
          <w:noEndnote/>
          <w:titlePg/>
          <w:rtlGutter w:val="0"/>
          <w:docGrid w:linePitch="360"/>
        </w:sectPr>
      </w:pPr>
      <w:r>
        <w:rPr>
          <w:color w:val="000000"/>
          <w:spacing w:val="0"/>
          <w:w w:val="100"/>
          <w:position w:val="0"/>
          <w:sz w:val="24"/>
          <w:szCs w:val="24"/>
          <w:shd w:val="clear" w:color="auto" w:fill="auto"/>
          <w:lang w:val="ru-RU" w:eastAsia="ru-RU" w:bidi="ru-RU"/>
        </w:rPr>
        <w:t>ко@8ЬегЬапк-а81.ги</w:t>
      </w:r>
    </w:p>
    <w:p>
      <w:pPr>
        <w:widowControl w:val="0"/>
        <w:spacing w:before="102" w:after="10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22" w:right="0" w:bottom="1179" w:left="0" w:header="0" w:footer="3" w:gutter="0"/>
          <w:cols w:space="720"/>
          <w:noEndnote/>
          <w:rtlGutter w:val="0"/>
          <w:docGrid w:linePitch="360"/>
        </w:sectPr>
      </w:pPr>
    </w:p>
    <w:p>
      <w:pPr>
        <w:pStyle w:val="Style13"/>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Решение №024/06/106-2958/2024</w:t>
      </w:r>
    </w:p>
    <w:p>
      <w:pPr>
        <w:pStyle w:val="Style13"/>
        <w:keepNext w:val="0"/>
        <w:keepLines w:val="0"/>
        <w:widowControl w:val="0"/>
        <w:shd w:val="clear" w:color="auto" w:fill="auto"/>
        <w:tabs>
          <w:tab w:pos="8765"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25 сентября 2024 года</w:t>
        <w:tab/>
        <w:t>г. Красноярск</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Комиссия Красноярского УФАС России по контролю в сфере закупок в составе: Председатель Комиссии - М.А. Дударева, Врио руководителя, члены Комиссии: М.А. Грицай, начальник отдела, Е.М. Хоменко, главный государственный инспектор (далее — Комиссия), рассмотрев жалобу филиала ФГУП «Охрана» Росгвардии по Красноярскому краю (далее - податель жалобы) на действия комиссии по осуществлению закупок Агентства государственного заказа Красноярского края (далее - котировочная комиссия, уполномоченный орган) при проведении запроса котировок в электронной форме ЗК-№-15288/24 «Оказание услуг охраны объектов СП КГБУ «МФЦ», расположенных по адресу: г. Красноярск, ул. Профсоюзов, д. 39А; г. Красноярск, ул. Мужества, д. 10» с извещением № 0119200000124014651 (далее - электронный запрос котировок), размещенного на электронной площадке АО «Сбербанк-АСТ» (далее - оператор электронной площадки), установила следующее.</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Существо жалобы: нарушение котировочной комиссией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рассмотрении заявок участников электронного запроса котировок.</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Жалоба подана в Красноярское УФАС России в срок, установленный частью 2 статьи 105 Закона о контрактной системе, соответствовала требованиям статьи 105 указанного закона, в связи с чем подлежала принятию к рассмотрению.</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адрес заказчика — КГБУ «Многофункциональный центр предоставления государственных и муниципальных услуг» (далее — заказчик), уполномоченного органа, подателя жалобы, оператора электронной площадки было направлено уведомление о содержании жалобы с информацией о месте и времени ее рассмотрения.</w:t>
      </w:r>
    </w:p>
    <w:p>
      <w:pPr>
        <w:pStyle w:val="Style13"/>
        <w:keepNext w:val="0"/>
        <w:keepLines w:val="0"/>
        <w:widowControl w:val="0"/>
        <w:shd w:val="clear" w:color="auto" w:fill="auto"/>
        <w:bidi w:val="0"/>
        <w:spacing w:before="0" w:after="440" w:line="240" w:lineRule="auto"/>
        <w:ind w:left="0" w:right="0" w:firstLine="600"/>
        <w:jc w:val="both"/>
      </w:pPr>
      <w:r>
        <w:rPr>
          <w:color w:val="000000"/>
          <w:spacing w:val="0"/>
          <w:w w:val="100"/>
          <w:position w:val="0"/>
          <w:sz w:val="24"/>
          <w:szCs w:val="24"/>
          <w:shd w:val="clear" w:color="auto" w:fill="auto"/>
          <w:lang w:val="ru-RU" w:eastAsia="ru-RU" w:bidi="ru-RU"/>
        </w:rPr>
        <w:t>На заседании Комиссии по рассмотрению жалобы по существу лично присутствовали</w:t>
      </w:r>
    </w:p>
    <w:p>
      <w:pPr>
        <w:pStyle w:val="Style15"/>
        <w:keepNext/>
        <w:keepLines/>
        <w:widowControl w:val="0"/>
        <w:shd w:val="clear" w:color="auto" w:fill="auto"/>
        <w:bidi w:val="0"/>
        <w:spacing w:before="0" w:after="0" w:line="240" w:lineRule="auto"/>
        <w:ind w:left="0" w:right="0" w:firstLine="0"/>
        <w:jc w:val="both"/>
        <w:rPr>
          <w:sz w:val="24"/>
          <w:szCs w:val="24"/>
        </w:rPr>
      </w:pPr>
      <w:bookmarkStart w:id="0" w:name="bookmark0"/>
      <w:r>
        <w:rPr>
          <w:color w:val="000000"/>
          <w:spacing w:val="0"/>
          <w:w w:val="100"/>
          <w:position w:val="0"/>
          <w:sz w:val="38"/>
          <w:szCs w:val="38"/>
          <w:shd w:val="clear" w:color="auto" w:fill="auto"/>
          <w:lang w:val="ru-RU" w:eastAsia="ru-RU" w:bidi="ru-RU"/>
        </w:rPr>
        <w:t>||||||||||||||||||||||||</w:t>
      </w:r>
      <w:bookmarkEnd w:id="0"/>
      <w:r>
        <w:rPr>
          <w:color w:val="000000"/>
          <w:spacing w:val="0"/>
          <w:w w:val="100"/>
          <w:position w:val="0"/>
          <w:sz w:val="38"/>
          <w:szCs w:val="38"/>
          <w:shd w:val="clear" w:color="auto" w:fill="auto"/>
          <w:lang w:val="ru-RU" w:eastAsia="ru-RU" w:bidi="ru-RU"/>
        </w:rPr>
        <w:t xml:space="preserve"> </w:t>
      </w:r>
      <w:r>
        <w:rPr>
          <w:rStyle w:val="CharStyle14"/>
        </w:rPr>
        <w:t>представители уполномоченного органа, котировочной комиссии, заказчика, подателя жалобы, надлежащим образом подтвердившие свои личности и полномочия.</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 доводов жалобы следует, что, по мнению подателя жалобы, котировочной комиссией были совершены неправомерные действия по признанию победителем электронного запроса котировок, поскольку заказчик является объектом, подлежащим государственной охране в силу пункта 1 Перечня, утвержденного постановлением Правительства РФ от 14.08.1992 № 587, следовательно, общества с ограниченной ответственностью частные охранные организации не имеют полномочий на выполнение государственной охраны объектов, перечисленных в указанном Перечне, что подтверждено судебной практикой по делу № А60-15677/2023.</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адрес Красноярского УФАС России котировочной комиссией, уполномоченным органом, заказчиком были представлены письменные возражения, сообщающие о том, что котировочной комиссией не было допущено нарушений требований законодательства о контрактной системе в сфере закупок при рассмотрении заявок на участие в электронном запросе котировок. Кроме того, по мнению заказчика, котировочной комиссии, уполномоченного органа, заказчик не является объектом, подлежащим государственной охране в силу пункта 1 Перечня, утвержденного постановлением Правительства РФ от 14.08.1992 № 587.</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проанализировав нормы позитивного права, регулирующие рассматриваемые правоотношения,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связи с возникшей у заказчика потребностью уполномоченным органом были совершены действия по определению поставщика (подрядчика, исполнителя) путем проведения электронного запроса котировок с установлением начальной (максимальной) цены контракта в размере 157 899,22 рублей.</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части 1 статьи 50 Закона о контрактной системе электронный запрос котировок начинается с размещения в ЕИС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3 или пунктом 4, пунктом 5 части 1 статьи 43 Закона о контрактной системе. Заявка также может содержать информацию и документы, предусмотренные подпунктом «д» пункта 2 части 1 статьи 43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Проанализировав электронный документ «Требования к содержанию, составу заявки на участие в электронном запросе котировок», являющийся приложением к извещению о проведении электронного запроса котировок, Комиссия установила, что участнику закупки надлежало представить в составе заявки информацию и документы, предусмотренные подпунктами «м» - «п» пункта 1, пунктом 3 части 1 статьи 43 Закона о контрактной системе, что само себе не противоречит требованиям части 1 статьи 50 Закона о контрактной системе, учитывая объект закупки.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 в пункте 1.12 электронного документа «Требования к содержанию, составу заявки на участие в электронном запросе котировок» было предусмотрено представление в составе заявки в качестве документов, подтверждающих соответствие участника закупки требованиям, установленным пунктом 1 части 1 статьи 31 Закона о контрактной системе, следующих документов:</w:t>
      </w:r>
    </w:p>
    <w:p>
      <w:pPr>
        <w:pStyle w:val="Style13"/>
        <w:keepNext w:val="0"/>
        <w:keepLines w:val="0"/>
        <w:widowControl w:val="0"/>
        <w:numPr>
          <w:ilvl w:val="0"/>
          <w:numId w:val="1"/>
        </w:numPr>
        <w:shd w:val="clear" w:color="auto" w:fill="auto"/>
        <w:tabs>
          <w:tab w:pos="88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документ, подтверждающий право участника оказывать услуги охраны в соответствии с законодательством о войсках национальной гвардии РФ, вневедомственной охране или выписка из реестра лицензий или копия акта лицензирующего органа или иной документ, подтверждающий наличие записи в реестре лицензий на осуществление частной охранной деятельности с предоставлением следующего вида услуг:</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 охрана объектов и (или) имущества на объектах с осуществлением работ по </w:t>
      </w:r>
      <w:r>
        <w:rPr>
          <w:color w:val="000000"/>
          <w:spacing w:val="0"/>
          <w:w w:val="100"/>
          <w:position w:val="0"/>
          <w:sz w:val="24"/>
          <w:szCs w:val="24"/>
          <w:shd w:val="clear" w:color="auto" w:fill="auto"/>
          <w:lang w:val="ru-RU" w:eastAsia="ru-RU" w:bidi="ru-RU"/>
        </w:rPr>
        <w:t>проектированию, монтажу и эксплуатационному обслуживанию технических средств охраны, перечень видов которых устанавливается Правительством Российской Федерации, и (или) с принятием соответствующих мер реагирования на их сигнальную информацию;</w:t>
      </w:r>
    </w:p>
    <w:p>
      <w:pPr>
        <w:pStyle w:val="Style13"/>
        <w:keepNext w:val="0"/>
        <w:keepLines w:val="0"/>
        <w:widowControl w:val="0"/>
        <w:numPr>
          <w:ilvl w:val="0"/>
          <w:numId w:val="1"/>
        </w:numPr>
        <w:shd w:val="clear" w:color="auto" w:fill="auto"/>
        <w:tabs>
          <w:tab w:pos="89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копия разрешения на хранение и использование оружия и патронов к нему с приложением списка номерного учета оружия с указанием вида, модели, калибра, серии, номера каждой единицы оружия, разрешенного к хранению и использованию(указанный документ войсками национальной гвардии РФ не предоставляется).</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части 3 статьи 50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p>
    <w:p>
      <w:pPr>
        <w:pStyle w:val="Style13"/>
        <w:keepNext w:val="0"/>
        <w:keepLines w:val="0"/>
        <w:widowControl w:val="0"/>
        <w:numPr>
          <w:ilvl w:val="0"/>
          <w:numId w:val="3"/>
        </w:numPr>
        <w:shd w:val="clear" w:color="auto" w:fill="auto"/>
        <w:tabs>
          <w:tab w:pos="883"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члены комиссии по осуществлению закупок:</w:t>
      </w:r>
    </w:p>
    <w:p>
      <w:pPr>
        <w:pStyle w:val="Style13"/>
        <w:keepNext w:val="0"/>
        <w:keepLines w:val="0"/>
        <w:widowControl w:val="0"/>
        <w:numPr>
          <w:ilvl w:val="0"/>
          <w:numId w:val="5"/>
        </w:numPr>
        <w:shd w:val="clear" w:color="auto" w:fill="auto"/>
        <w:tabs>
          <w:tab w:pos="87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частью 2 статьи 50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pPr>
        <w:pStyle w:val="Style13"/>
        <w:keepNext w:val="0"/>
        <w:keepLines w:val="0"/>
        <w:widowControl w:val="0"/>
        <w:numPr>
          <w:ilvl w:val="0"/>
          <w:numId w:val="5"/>
        </w:numPr>
        <w:shd w:val="clear" w:color="auto" w:fill="auto"/>
        <w:tabs>
          <w:tab w:pos="89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решения, предусмотренного подпунктом «а» пункта 1 части 3 статьи 50 Закона о контрактной системе,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частью 24 статьи 22 Закона о контрактной системе), предложенных участником закупки, подавшим такую заявку, с учетом положений нормативных правовых актов, принятых в соответствии 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предложения, предусмотренные пунктом 3 или 4 части 1 статьи 43 Закона о контрактной системе, меньший порядковый номер присваивается заявке на участие в закупке, которая поступила ранее других таких заявок;</w:t>
      </w:r>
    </w:p>
    <w:p>
      <w:pPr>
        <w:pStyle w:val="Style13"/>
        <w:keepNext w:val="0"/>
        <w:keepLines w:val="0"/>
        <w:widowControl w:val="0"/>
        <w:numPr>
          <w:ilvl w:val="0"/>
          <w:numId w:val="3"/>
        </w:numPr>
        <w:shd w:val="clear" w:color="auto" w:fill="auto"/>
        <w:tabs>
          <w:tab w:pos="89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протоколом подведения итогов определения поставщика (подрядчика, исполнителя) от 18.09.2024 №ИЗК1 на участие поступило 4 заявки (идентификационные номера 127, 30, 35, 176), в отношении которых котировочной комиссией было принято решение о признании таких заявок на участие в закупке соответствующими извещению об осуществлении закупки. При этом, по результатам подведения итогов определения поставщика (подрядчика, исполнителя) победителем запроса котировок был признан участник закупки с идентификационным номером заявки 127, заявка на участие в закупке которого соответствует требованиям, установленным в извещении об осуществлении закупки, с предложением о цене контракта /суммы цен единиц товара, работы, услуги 23 184,00 руб. (двадцать три тысячи сто восемьдесят четыре рубля ноль копеек).</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Рассмотрев фактическое содержание заявки участника закупки с идентификационным номером заявки 127, Комиссия установила, что таким участником закупки была представлена информация и документы, предусмотренные подпунктами «м» - «п» пункта 1, пунктом 3 части 1 статьи 43 Закона о контрактной системе, в том числе, представлены в соответствии с пунктом 1.12 электронного документа «Требования к содержанию, составу заявки на участие в электронном запросе котировок» извещения о проведении электронного запроса котировок:</w:t>
      </w:r>
    </w:p>
    <w:p>
      <w:pPr>
        <w:pStyle w:val="Style13"/>
        <w:keepNext w:val="0"/>
        <w:keepLines w:val="0"/>
        <w:widowControl w:val="0"/>
        <w:numPr>
          <w:ilvl w:val="0"/>
          <w:numId w:val="7"/>
        </w:numPr>
        <w:shd w:val="clear" w:color="auto" w:fill="auto"/>
        <w:tabs>
          <w:tab w:pos="879"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выписка из реестра лицензий и копия акта лицензирующего органа, подтверждающих наличие записи в реестре лицензий на осуществление частной охранной деятельности с </w:t>
      </w:r>
      <w:r>
        <w:rPr>
          <w:color w:val="000000"/>
          <w:spacing w:val="0"/>
          <w:w w:val="100"/>
          <w:position w:val="0"/>
          <w:sz w:val="24"/>
          <w:szCs w:val="24"/>
          <w:shd w:val="clear" w:color="auto" w:fill="auto"/>
          <w:lang w:val="ru-RU" w:eastAsia="ru-RU" w:bidi="ru-RU"/>
        </w:rPr>
        <w:t>предоставлением следующего вида услуг:</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перечень видов которых устанавливается Правительством Российской Федерации, и (или) с принятием соответствующих мер реагирования на их сигнальную информацию;</w:t>
      </w:r>
    </w:p>
    <w:p>
      <w:pPr>
        <w:pStyle w:val="Style13"/>
        <w:keepNext w:val="0"/>
        <w:keepLines w:val="0"/>
        <w:widowControl w:val="0"/>
        <w:numPr>
          <w:ilvl w:val="0"/>
          <w:numId w:val="7"/>
        </w:numPr>
        <w:shd w:val="clear" w:color="auto" w:fill="auto"/>
        <w:tabs>
          <w:tab w:pos="89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копия разрешения на хранение и использование оружия и патронов к нему с приложением списка номерного учета оружия с указанием вида, модели, калибра, серии, номера каждой единицы оружия, разрешенного к хранению и использованию.</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Анализ фактического содержания заявок иных участников электронного запроса котировок показал Комиссии, что такими участниками закупки также были представлены информация и документы, предусмотренные подпунктами «м» - «п» пункта 1, пунктом 3 части 1 статьи 43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Установив совокупность вышеизложенных обстоятельств, Комиссия пришла к выводу о том, что, приняв указанное в протоколе подведения итогов определения поставщика (подрядчика, исполнителя) решение о признании заявок с идентификационными номерами 127, 30, 35, 176 на участие в закупке соответствующими извещению об осуществлении закупки, о признании победителем электронного запроса котировок участника закупки с идентификационным номером заявки 127, котировочная комиссия не допустила нарушения требований Закона о контрактной системе, с учетом вышеизложенных в настоящем решении выводов Комиссии, основанных на непосредственном исследовании фактического содержания заявок участников закупки и сопоставлении такого содержания с требованиями извещения о проведении электронного запроса котировок.</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доводы жалобы о проведении котировочной комиссией процедуры рассмотрения заявок на участие в электронном запросе котировок с нарушением требований законодательства о контрактной системе в сфере закупок не находят своего подтверждения при рассмотрении жалобы по существу, в связи с чем жалоба признается Комиссией необоснованной.</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Комиссия информирует подателя жалобы о том, что в силу пункта 1 части 2 статьи 105 Закона о контрактной системе жалоба на положения извещения об осуществлении закупки может быть подана до окончания срока подачи заявок на участие в закупке. Таким образом, учитывая факт истечения срока подачи заявок на участие в электронном запросе котировок 17.09.2024 в 08:00, у Комиссии отсутствуют правовые основания для рассмотрения довода подателя жалобы о наличии в извещении о проведении электронного запроса котировок неправомерных требований по существу в рамках административной процедуры, предусмотренной в отношении рассмотрения жалоб, поданных в порядке главы 6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Вместе с тем, в ходе проведения внеплановой проверки действий субъектов контроля, на основании части 15 статьи 99 Закона о контрактной системе Комиссия, рассмотрев сами по себе требования, установленные заказчиком к участникам закупки и к содержанию заявки на участие в электронном запросе котировок извещения о его проведении, пришла к следующим выводам.</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 (часть 2 статьи 42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sectPr>
          <w:footnotePr>
            <w:pos w:val="pageBottom"/>
            <w:numFmt w:val="decimal"/>
            <w:numRestart w:val="continuous"/>
          </w:footnotePr>
          <w:type w:val="continuous"/>
          <w:pgSz w:w="11900" w:h="16840"/>
          <w:pgMar w:top="322" w:right="535" w:bottom="1179" w:left="1098"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На основании анализа положений извещения о проведении электронного запроса котировок, сформированных с использованием ЕИС при заполнении экранных форм веб-интерфейса ЕИС (часть 1 статьи 42 Закона о контрактной системе, пункт 3 Положения о порядке формирования и размещения информации и документов в единой информационной системе в сфере закупок, о требованиях к их формам, утвержденного постановлением Правительства Российской Федерации от 27.01.2022 № 60), а также при прикреплении электронных документов (часть 2 статьи 42 Закона о контрактной системе, пункт 4 вышеуказанного Положения), Комиссия установила, что заказчиком осуществляется закупка слуг охраны объектов СП КГБУ «МФЦ», расположенных по адресу: г. Красноярск, ул. Профсоюзов, д. 39А; г. Красноярск, ул. Мужества, д. 10, с применением позиции КТРУ 80.10.12.000-00000005 «Услуги частной охраны (Охранный (технический) мониторинг)».</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 осуществлении закупки путем проведения открытых конкурентных способов заказчик формирует с использованием ЕИС, подписывает усиленной электронной подписью лица, имеющего право действовать от имени заказчика, и размещает в ЕИС извещение об осуществлении закупки, которое, в том числе, должно содержать требования, предъявляемые к участникам закупки в соответствии с частью 1 статьи 31 Закона о контрактной системе, требования, предъявляемые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 (пункт 12 части 1 статьи 42 Закона о контрактной системе).</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пунктом 3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в качестве электронного документа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Комиссией выше по тексту настоящего решения было установлено, что в извещении о проведении электронного запроса котировок к участникам закупки, а также в требованиях к составу заявки на участи в электронном запросе котировок в качестве документов, подтверждающих соответствие участника закупки требованиям, установленным пунктом 1 части 1 статьи 31 Закона о контрактной системе, было установлено требование о представлении наряду с документами, подтверждающими право участника оказывать услуги охраны в соответствии с законодательством о войсках национальной гвардии РФ, вневедомственной охране, следующих документов: выписка из реестра лицензий или копия акта лицензирующего органа или иной документ, подтверждающий наличие записи в реестре лицензий на осуществление частной охранной деятельности с предоставлением видов услуг, перечисленных выше по тексту настоящего решения.</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Рассматривая указанные действия заказчика при формировании поименованных положений извещения о проведении электронного запроса котировок Комиссия считает необходимым принять во внимание следующую совокупность обстоятельств.</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абзацем 3 статьи 11 Закона РФ от 11.03.1992 № 2487-1 «О частной детективной и охранной деятельности в Российской Федерации» (далее — Закон о частной детективной и охранной деятельности в РФ) частная охранная деятельность не распространяется на объекты государственной охраны и охраняемые объекты, предусмотренные Федеральным законом от 27.05.1996 № 57-ФЗ «О государственной охране» (далее - Федеральный закон от 27.05.1996 № 57-ФЗ), а также на объекты, перечень которых утверждается Правительством Российской Федерации.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Постановлением Правительства Российской Федерации от 14.08.1992 № 587 «Вопросы частной детективной (сыскной) и частной охранной деятельности» утвержден Перечень объектов, на которые частная охранная деятельность не распространяется (далее - Перечень объектов).</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содержании жалобы податель жалобы полагает, что заказчик является объектом, подлежащим государственной охране в силу пункта 1 Перечня объектов.</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Вместе с тем, Комиссия обращает внимание на то, что согласно пункту 11 Перечня объектов частная охранная деятельность не распространяется на объекты по производству и хранению государственных наград, монет, денежных знаков и защищенной полиграфической продукции.</w:t>
      </w:r>
    </w:p>
    <w:p>
      <w:pPr>
        <w:pStyle w:val="Style13"/>
        <w:keepNext w:val="0"/>
        <w:keepLines w:val="0"/>
        <w:widowControl w:val="0"/>
        <w:shd w:val="clear" w:color="auto" w:fill="auto"/>
        <w:bidi w:val="0"/>
        <w:spacing w:before="0" w:after="0" w:line="271" w:lineRule="auto"/>
        <w:ind w:left="0" w:right="0" w:firstLine="580"/>
        <w:jc w:val="both"/>
        <w:sectPr>
          <w:footerReference w:type="default" r:id="rId11"/>
          <w:footnotePr>
            <w:pos w:val="pageBottom"/>
            <w:numFmt w:val="decimal"/>
            <w:numRestart w:val="continuous"/>
          </w:footnotePr>
          <w:pgSz w:w="11900" w:h="16840"/>
          <w:pgMar w:top="1119" w:right="546" w:bottom="602" w:left="1106" w:header="691" w:footer="174" w:gutter="0"/>
          <w:cols w:space="720"/>
          <w:noEndnote/>
          <w:rtlGutter w:val="0"/>
          <w:docGrid w:linePitch="360"/>
        </w:sectPr>
      </w:pPr>
      <w:r>
        <w:rPr>
          <w:color w:val="000000"/>
          <w:spacing w:val="0"/>
          <w:w w:val="100"/>
          <w:position w:val="0"/>
          <w:sz w:val="24"/>
          <w:szCs w:val="24"/>
          <w:shd w:val="clear" w:color="auto" w:fill="auto"/>
          <w:lang w:val="ru-RU" w:eastAsia="ru-RU" w:bidi="ru-RU"/>
        </w:rPr>
        <w:t>ГОСТ Р 54109-2010 «Национальный стандарт Российской Федерации. Защитные технологии. Продукция полиграфическая защищенная. Общие технические требования» разработан в целях установления требований к защищенной полиграфической продукции, пунктом 3.1 которого определено, что защищенной полиграфической продукцией является полиграфическая продукция, содержащая не менее двух элементов защиты от подделки и изготовленная с применением способов защиты, предотвращающих полную или частичную подделку этой продукции, для 2024-16466</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которой предусмотрена необходимость защиты. Для защиты такой продукции применяют спецбумагу, спецкраски, а также полиграфические, голографические, информационные, микропроцессорные и иные способы защиты.</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Постановлению Правительства РФ от 18.11.2005 № 687 «Об утверждении образцов и описания бланков паспорта гражданина Российской Федерации, дипломатического паспорта гражданина Российской Федерации и служебного паспорта гражданина Российской Федерации, удостоверяющих личность гражданина Российской Федерации за пределами территории Российской Федерации, содержащих электронные носители информации» бланки паспорта гражданина Российской Федерации, дипломатического паспорта гражданина Российской Федерации и служебного паспорта гражданина Российской Федерации, удостоверяющих личность гражданина Российской Федерации за пределами территории Российской Федерации, содержащих электронные носители, изготавливаются по единому образцу, соответствующему международным требованиям и стандартам, предъявляемым к машиночитаемым проездным документам, и являются защищенной полиграфической продукцией уровня «А».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Организация деятельности многофункционального центра по предоставлению государственных и муниципальных услуг регламентирована Федеральным законом от 27.07.2010 № 210-ФЗ «Об организации предоставления государственных и муниципальных услуг» (далее — Закон № 210-ФЗ), а также Правилами, утвержденными постановлением Правительства РФ от 22.12.2012 № 1376 «Об утверждении Правил организации деятельности многофункциональных центров предоставления государственных и муниципальных услуг» (далее — Правила).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частям 1, 3 статьи 15 Закона № 210-ФЗ и пункту 1 Правил многофункциональный центр организует предоставление государственных и муниципальных услуг по принципу «одного окна» в соответствии с соглашениями о взаимодействии с федеральными органами исполнительной власти, органами государственных внебюджетных фондов, органами исполнительной власти субъектов РФ, органами местного самоуправления.</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ходе проведения заседания Комиссии по рассмотрению жалобы по существу на соответствующий вопрос председателя Комиссии представители заказчика пояснили, что заказчик осуществляет свою деятельность в соответствии с Правилами, при этом подтвердили, что структурные подразделения заказчика принимают участие в осуществлении услуг по выдаче, замене паспортов гражданина РФ, удостоверяющих личность гражданина РФ как на территории РФ, так и за пределами территории РФ.</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пунктом 5 статьи 2 Закона № 210-ФЗ многофункциональный центр предоставления государственных и муниципальных услуг (далее - многофункциональный центр) - организация, созданная в организационно-правовой форме государственного или муниципального учреждения (в том числе являющаяся автономным учреждением), отвечающая требованиям, установленным Законом № 210-ФЗ, и уполномоченная на организацию предоставления государственных и муниципальных услуг, в том числе в электронной форме, по принципу «одного окна».</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Постановлением Правительства Российской Федерации от 27.09.2011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утвержден Перечень государственных услуг, предоставление которых организуется по принципу «одного окна» в многофункциональных центрах предоставления государственных и муниципальных услуг федеральными органами исполнительной власти и органами государственных внебюджетных фондов.</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указанный Перечень услуг включены услуги по выдаче, замене паспортов гражданина Российской Федерации, удостоверяющих личность гражданина Российской Федерации на территории Российской Федерации, оформлению и выдаче паспортов гражданина Российской Федерации, удостоверяющих личность гражданина Российской Федерации за пределами территории Российской Федерации, выдаче водительских удостоверений (пункты 3-6 Перечня).</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Принимая во внимание, что осуществление вышеперечисленных государственных услуг </w:t>
      </w:r>
      <w:r>
        <w:rPr>
          <w:color w:val="000000"/>
          <w:spacing w:val="0"/>
          <w:w w:val="100"/>
          <w:position w:val="0"/>
          <w:sz w:val="24"/>
          <w:szCs w:val="24"/>
          <w:shd w:val="clear" w:color="auto" w:fill="auto"/>
          <w:lang w:val="ru-RU" w:eastAsia="ru-RU" w:bidi="ru-RU"/>
        </w:rPr>
        <w:t>связано с нахождением на хранении паспортов граждан, которые относятся к защищенной полиграфической продукции, Комиссия пришла к выводу, что частная охранная деятельность не распространяется на охрану объектов многофункциональных центров.</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Кроме того, в ходе проведения заседания Комиссии по рассмотрению жалобы по существу представители заказчика на соответствующий вопрос председателя Комиссии подтвердили, что в отделениях заказчика имеются специальные помещения для хранения паспортов граждан РФ, удостоверяющих личность гражданина РФ как на территории РФ, так и за пределами территории РФ.</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этой связи Комиссия отмечает, что указанное обстоятельство имеет взаимосвязь с содержанием пункта 17(1) Правил, однако поскольку Закон Российской Федерации обладает большей юридической силой, чем Постановление Правительства Российской Федерации (в данном случае Правила утверждены постановлением Правительства РФ от 22.12.2012 № 1376), то в данном случае подлежит применению норма абзаца 3 статьи 11 Закона о частной детективной и охранной деятельности в РФ, предусматривающая запрет на частную охрану объектов, указанных в Перечне объектов, на которые частная охранная деятельность не распространяется, к которым, в том числе относятся объекты по производству и хранению государственных наград, монет, денежных знаков и защищенной полиграфической продукции.</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Вышеуказанные выводы Комиссии согласуются с выводами, изложенными в судебных актах, принятых на основании установления сопоставимых обстоятельств в рамках рассмотрения дела № А60-15677/2023 и вступивших в законную силу, что подтверждается решением Арбитражного суда Свердловской области от 07.07.2023, Определением Верховного суда РФ № 309-ЭС24-3636 от 27.03.2024.</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заказчиком при формировании извещения о проведении электронного запроса котировок в нарушение требований пункта 12 части 1, пункта 3 части 2 статьи 42 Закона о контрактной системе были совершены действия по установлению требования к участникам закупки о представлении наряду с документами, подтверждающими право участника оказывать услуги охраны в соответствии с законодательством о войсках национальной гвардии РФ, вневедомственной охране, документов, подтверждающих осуществление частной охранной деятельности с предоставлением видов услуг, перечисленных выше по тексту настоящего решения. Также указанные действия заказчика содержат признаки состава административного правонарушения, ответственность за которое предусмотрена частью 1.4 статьи 7.30 Кодекса Российской Федерации об административных правонарушениях.</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вышеизложенных обстоятельств, в результате рассмотрения жалобы по существу и проведения внеплановой проверки, руководствуясь частями 3, 15, 22 статьи 99, частью 8 статьи 106 Закона о контрактной системе, Комиссия Красноярского УФАС России приняла решение:</w:t>
      </w:r>
    </w:p>
    <w:p>
      <w:pPr>
        <w:pStyle w:val="Style13"/>
        <w:keepNext w:val="0"/>
        <w:keepLines w:val="0"/>
        <w:widowControl w:val="0"/>
        <w:numPr>
          <w:ilvl w:val="0"/>
          <w:numId w:val="9"/>
        </w:numPr>
        <w:shd w:val="clear" w:color="auto" w:fill="auto"/>
        <w:tabs>
          <w:tab w:pos="105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филиала ФГУП «Охрана» Росгвардии по Красноярскому краю необоснованной.</w:t>
      </w:r>
    </w:p>
    <w:p>
      <w:pPr>
        <w:pStyle w:val="Style13"/>
        <w:keepNext w:val="0"/>
        <w:keepLines w:val="0"/>
        <w:widowControl w:val="0"/>
        <w:numPr>
          <w:ilvl w:val="0"/>
          <w:numId w:val="9"/>
        </w:numPr>
        <w:shd w:val="clear" w:color="auto" w:fill="auto"/>
        <w:tabs>
          <w:tab w:pos="105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заказчика нарушившим требования пункта 12 части 1, пункта 3 части 2 статьи 42 Закона о контрактной системе.</w:t>
      </w:r>
    </w:p>
    <w:p>
      <w:pPr>
        <w:pStyle w:val="Style13"/>
        <w:keepNext w:val="0"/>
        <w:keepLines w:val="0"/>
        <w:widowControl w:val="0"/>
        <w:numPr>
          <w:ilvl w:val="0"/>
          <w:numId w:val="9"/>
        </w:numPr>
        <w:shd w:val="clear" w:color="auto" w:fill="auto"/>
        <w:tabs>
          <w:tab w:pos="105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целях устранения допущенного нарушения требований законодательства о контрактной системе в сфере закупок, прав и законных интересов участников закупки выдать заказчику предписание об устранении выявленных нарушений законодательства о контрактной системе в сфере закупок путем внесения изменений в извещение о проведении электронного запроса котировок.</w:t>
      </w:r>
    </w:p>
    <w:p>
      <w:pPr>
        <w:pStyle w:val="Style13"/>
        <w:keepNext w:val="0"/>
        <w:keepLines w:val="0"/>
        <w:widowControl w:val="0"/>
        <w:numPr>
          <w:ilvl w:val="0"/>
          <w:numId w:val="9"/>
        </w:numPr>
        <w:shd w:val="clear" w:color="auto" w:fill="auto"/>
        <w:tabs>
          <w:tab w:pos="105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Комиссии по осуществлению закупок, заказчику, оператору электронной площадки отменить все протоколы, составленные в ходе проведения электронного запроса котировок.</w:t>
      </w:r>
    </w:p>
    <w:p>
      <w:pPr>
        <w:pStyle w:val="Style13"/>
        <w:keepNext w:val="0"/>
        <w:keepLines w:val="0"/>
        <w:widowControl w:val="0"/>
        <w:numPr>
          <w:ilvl w:val="0"/>
          <w:numId w:val="9"/>
        </w:numPr>
        <w:shd w:val="clear" w:color="auto" w:fill="auto"/>
        <w:tabs>
          <w:tab w:pos="105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Продлить срок подачи заявок на участие в электронном запросе котировок не менее, чем на 3 дня, начиная со дня размещения извещения о проведении электронного запроса котировок.</w:t>
      </w:r>
    </w:p>
    <w:p>
      <w:pPr>
        <w:pStyle w:val="Style13"/>
        <w:keepNext w:val="0"/>
        <w:keepLines w:val="0"/>
        <w:widowControl w:val="0"/>
        <w:numPr>
          <w:ilvl w:val="0"/>
          <w:numId w:val="9"/>
        </w:numPr>
        <w:shd w:val="clear" w:color="auto" w:fill="auto"/>
        <w:tabs>
          <w:tab w:pos="105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Передать материалы по жалобе и результатам внеплановой проверки уполномоченному должностному лицу Красноярского УФАС России для принятия решения о возбуждении дела об административном правонарушении в отношении должностного лица заказчика.</w:t>
      </w:r>
    </w:p>
    <w:p>
      <w:pPr>
        <w:pStyle w:val="Style13"/>
        <w:keepNext w:val="0"/>
        <w:keepLines w:val="0"/>
        <w:widowControl w:val="0"/>
        <w:shd w:val="clear" w:color="auto" w:fill="auto"/>
        <w:bidi w:val="0"/>
        <w:spacing w:before="0" w:after="300" w:line="240" w:lineRule="auto"/>
        <w:ind w:left="0" w:right="0" w:firstLine="580"/>
        <w:jc w:val="left"/>
      </w:pPr>
      <w:r>
        <w:rPr>
          <w:color w:val="000000"/>
          <w:spacing w:val="0"/>
          <w:w w:val="100"/>
          <w:position w:val="0"/>
          <w:sz w:val="24"/>
          <w:szCs w:val="24"/>
          <w:shd w:val="clear" w:color="auto" w:fill="auto"/>
          <w:lang w:val="ru-RU" w:eastAsia="ru-RU" w:bidi="ru-RU"/>
        </w:rPr>
        <w:t>Настоящее решение может быть обжаловано в арбитражный суд Красноярского края в течение трех месяцев со дня его принятия</w:t>
      </w:r>
    </w:p>
    <w:tbl>
      <w:tblPr>
        <w:tblOverlap w:val="never"/>
        <w:jc w:val="center"/>
        <w:tblLayout w:type="fixed"/>
      </w:tblPr>
      <w:tblGrid>
        <w:gridCol w:w="5582"/>
        <w:gridCol w:w="4627"/>
      </w:tblGrid>
      <w:tr>
        <w:trPr>
          <w:trHeight w:val="413" w:hRule="exact"/>
        </w:trPr>
        <w:tc>
          <w:tcPr>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c>
        <w:tc>
          <w:tcPr>
            <w:tcBorders/>
            <w:shd w:val="clear" w:color="auto" w:fill="auto"/>
            <w:vAlign w:val="top"/>
          </w:tcPr>
          <w:p>
            <w:pPr>
              <w:pStyle w:val="Style19"/>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М.А. Дударева</w:t>
            </w:r>
          </w:p>
        </w:tc>
      </w:tr>
      <w:tr>
        <w:trPr>
          <w:trHeight w:val="413" w:hRule="exact"/>
        </w:trPr>
        <w:tc>
          <w:tcPr>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c>
        <w:tc>
          <w:tcPr>
            <w:tcBorders/>
            <w:shd w:val="clear" w:color="auto" w:fill="auto"/>
            <w:vAlign w:val="bottom"/>
          </w:tcPr>
          <w:p>
            <w:pPr>
              <w:pStyle w:val="Style19"/>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М.А. Грицай</w:t>
            </w:r>
          </w:p>
        </w:tc>
      </w:tr>
    </w:tbl>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Е.М. Хоменко</w:t>
      </w:r>
    </w:p>
    <w:p>
      <w:pPr>
        <w:widowControl w:val="0"/>
        <w:spacing w:after="10899" w:line="1" w:lineRule="exact"/>
      </w:pPr>
    </w:p>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Исп.Хоменко Е.М. тел.8(391)2110144</w:t>
      </w:r>
    </w:p>
    <w:sectPr>
      <w:footerReference w:type="default" r:id="rId12"/>
      <w:footnotePr>
        <w:pos w:val="pageBottom"/>
        <w:numFmt w:val="decimal"/>
        <w:numRestart w:val="continuous"/>
      </w:footnotePr>
      <w:pgSz w:w="11900" w:h="16840"/>
      <w:pgMar w:top="1082" w:right="537" w:bottom="1148" w:left="1105" w:header="654"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10027920</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2024-16466</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950000000000003pt;margin-top:789.60000000000002pt;width:57.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2024-16466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2024-16466</w:t>
                          </w:r>
                        </w:p>
                      </w:txbxContent>
                    </wps:txbx>
                    <wps:bodyPr wrap="none" lIns="0" tIns="0" rIns="0" bIns="0">
                      <a:spAutoFit/>
                    </wps:bodyPr>
                  </wps:wsp>
                </a:graphicData>
              </a:graphic>
            </wp:anchor>
          </w:drawing>
        </mc:Choice>
        <mc:Fallback>
          <w:pict>
            <v:shape id="_x0000_s1031"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2024-16466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723265</wp:posOffset>
              </wp:positionH>
              <wp:positionV relativeFrom="page">
                <wp:posOffset>10027920</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2024-16466</w:t>
                          </w:r>
                        </w:p>
                      </w:txbxContent>
                    </wps:txbx>
                    <wps:bodyPr wrap="none" lIns="0" tIns="0" rIns="0" bIns="0">
                      <a:spAutoFit/>
                    </wps:bodyPr>
                  </wps:wsp>
                </a:graphicData>
              </a:graphic>
            </wp:anchor>
          </w:drawing>
        </mc:Choice>
        <mc:Fallback>
          <w:pict>
            <v:shape id="_x0000_s1033" type="#_x0000_t202" style="position:absolute;margin-left:56.950000000000003pt;margin-top:789.60000000000002pt;width:57.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2024-16466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9">
    <w:name w:val="Основной текст (3)_"/>
    <w:basedOn w:val="DefaultParagraphFont"/>
    <w:link w:val="Style8"/>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12">
    <w:name w:val="Подпись к картинке_"/>
    <w:basedOn w:val="DefaultParagraphFont"/>
    <w:link w:val="Style11"/>
    <w:rPr>
      <w:rFonts w:ascii="Times New Roman" w:eastAsia="Times New Roman" w:hAnsi="Times New Roman" w:cs="Times New Roman"/>
      <w:b w:val="0"/>
      <w:bCs w:val="0"/>
      <w:i w:val="0"/>
      <w:iCs w:val="0"/>
      <w:smallCaps w:val="0"/>
      <w:strike w:val="0"/>
      <w:color w:val="4360A3"/>
      <w:sz w:val="18"/>
      <w:szCs w:val="18"/>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8"/>
      <w:szCs w:val="38"/>
      <w:u w:val="none"/>
    </w:rPr>
  </w:style>
  <w:style w:type="character" w:customStyle="1" w:styleId="CharStyle18">
    <w:name w:val="Подпись к таблице_"/>
    <w:basedOn w:val="DefaultParagraphFont"/>
    <w:link w:val="Style17"/>
    <w:rPr>
      <w:rFonts w:ascii="Times New Roman" w:eastAsia="Times New Roman" w:hAnsi="Times New Roman" w:cs="Times New Roman"/>
      <w:b w:val="0"/>
      <w:bCs w:val="0"/>
      <w:i w:val="0"/>
      <w:iCs w:val="0"/>
      <w:smallCaps w:val="0"/>
      <w:strike w:val="0"/>
      <w:u w:val="none"/>
    </w:rPr>
  </w:style>
  <w:style w:type="character" w:customStyle="1" w:styleId="CharStyle20">
    <w:name w:val="Другое_"/>
    <w:basedOn w:val="DefaultParagraphFont"/>
    <w:link w:val="Style19"/>
    <w:rPr>
      <w:rFonts w:ascii="Times New Roman" w:eastAsia="Times New Roman" w:hAnsi="Times New Roman" w:cs="Times New Roman"/>
      <w:b w:val="0"/>
      <w:bCs w:val="0"/>
      <w:i w:val="0"/>
      <w:iCs w:val="0"/>
      <w:smallCaps w:val="0"/>
      <w:strike w:val="0"/>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2)"/>
    <w:basedOn w:val="Normal"/>
    <w:link w:val="CharStyle6"/>
    <w:pPr>
      <w:widowControl w:val="0"/>
      <w:shd w:val="clear" w:color="auto" w:fill="auto"/>
      <w:spacing w:after="440" w:line="281"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8">
    <w:name w:val="Основной текст (3)"/>
    <w:basedOn w:val="Normal"/>
    <w:link w:val="CharStyle9"/>
    <w:pPr>
      <w:widowControl w:val="0"/>
      <w:shd w:val="clear" w:color="auto" w:fill="auto"/>
      <w:spacing w:after="180"/>
      <w:jc w:val="center"/>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11">
    <w:name w:val="Подпись к картинке"/>
    <w:basedOn w:val="Normal"/>
    <w:link w:val="CharStyle12"/>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360A3"/>
      <w:sz w:val="18"/>
      <w:szCs w:val="18"/>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Заголовок №1"/>
    <w:basedOn w:val="Normal"/>
    <w:link w:val="CharStyle16"/>
    <w:pPr>
      <w:widowControl w:val="0"/>
      <w:shd w:val="clear" w:color="auto" w:fill="auto"/>
      <w:spacing w:after="340"/>
      <w:outlineLvl w:val="0"/>
    </w:pPr>
    <w:rPr>
      <w:rFonts w:ascii="Arial" w:eastAsia="Arial" w:hAnsi="Arial" w:cs="Arial"/>
      <w:b w:val="0"/>
      <w:bCs w:val="0"/>
      <w:i w:val="0"/>
      <w:iCs w:val="0"/>
      <w:smallCaps w:val="0"/>
      <w:strike w:val="0"/>
      <w:sz w:val="38"/>
      <w:szCs w:val="38"/>
      <w:u w:val="none"/>
    </w:rPr>
  </w:style>
  <w:style w:type="paragraph" w:customStyle="1" w:styleId="Style17">
    <w:name w:val="Подпись к таблице"/>
    <w:basedOn w:val="Normal"/>
    <w:link w:val="CharStyle18"/>
    <w:pPr>
      <w:widowControl w:val="0"/>
      <w:shd w:val="clear" w:color="auto" w:fill="auto"/>
      <w:jc w:val="right"/>
    </w:pPr>
    <w:rPr>
      <w:rFonts w:ascii="Times New Roman" w:eastAsia="Times New Roman" w:hAnsi="Times New Roman" w:cs="Times New Roman"/>
      <w:b w:val="0"/>
      <w:bCs w:val="0"/>
      <w:i w:val="0"/>
      <w:iCs w:val="0"/>
      <w:smallCaps w:val="0"/>
      <w:strike w:val="0"/>
      <w:u w:val="none"/>
    </w:rPr>
  </w:style>
  <w:style w:type="paragraph" w:customStyle="1" w:styleId="Style19">
    <w:name w:val="Другое"/>
    <w:basedOn w:val="Normal"/>
    <w:link w:val="CharStyle20"/>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footer" Target="footer4.xml"/></Relationships>
</file>