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36575" cy="61595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36575" cy="6159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after="139" w:line="1" w:lineRule="exact"/>
      </w:pP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40" w:line="288" w:lineRule="auto"/>
        <w:ind w:left="0" w:right="0" w:firstLine="0"/>
        <w:jc w:val="center"/>
        <w:rPr>
          <w:sz w:val="17"/>
          <w:szCs w:val="17"/>
        </w:rPr>
      </w:pPr>
      <w:r>
        <w:rPr>
          <w:b/>
          <w:bCs/>
          <w:spacing w:val="0"/>
          <w:w w:val="100"/>
          <w:position w:val="0"/>
          <w:sz w:val="17"/>
          <w:szCs w:val="17"/>
          <w:shd w:val="clear" w:color="auto" w:fill="auto"/>
          <w:lang w:val="ru-RU" w:eastAsia="ru-RU" w:bidi="ru-RU"/>
        </w:rPr>
        <w:t>ФЕДЕРАЛЬНАЯ</w:t>
        <w:br/>
        <w:t>АНТИМОНОПОЛЬНАЯ СЛУЖБА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  <w:br/>
        <w:t>Федеральной антимонопольной службы</w:t>
        <w:br/>
        <w:t>по Красноярскому краю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line="276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пр. Мира, 81 д, г. Красноярск, 660017</w:t>
        <w:br/>
        <w:t>тел. (391) 211-00-00, факс (391) 211-01-14</w:t>
        <w:br/>
        <w:t>е-таП: 1о24й</w:t>
      </w:r>
      <w:r>
        <w:rPr>
          <w:spacing w:val="0"/>
          <w:w w:val="100"/>
          <w:position w:val="0"/>
          <w:shd w:val="clear" w:color="auto" w:fill="auto"/>
          <w:vertAlign w:val="subscript"/>
          <w:lang w:val="ru-RU" w:eastAsia="ru-RU" w:bidi="ru-RU"/>
        </w:rPr>
        <w:t>;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Таа.ао\'.ги</w:t>
      </w:r>
    </w:p>
    <w:p>
      <w:pPr>
        <w:pStyle w:val="Style8"/>
        <w:keepNext w:val="0"/>
        <w:keepLines w:val="0"/>
        <w:widowControl w:val="0"/>
        <w:shd w:val="clear" w:color="auto" w:fill="auto"/>
        <w:tabs>
          <w:tab w:leader="underscore" w:pos="1762" w:val="left"/>
          <w:tab w:leader="underscore" w:pos="3926" w:val="left"/>
        </w:tabs>
        <w:bidi w:val="0"/>
        <w:spacing w:before="0" w:after="240" w:line="264" w:lineRule="auto"/>
        <w:ind w:left="0" w:right="0" w:firstLine="0"/>
        <w:jc w:val="both"/>
        <w:rPr>
          <w:sz w:val="18"/>
          <w:szCs w:val="18"/>
        </w:rPr>
      </w:pPr>
      <w:r>
        <w:rPr>
          <w:b w:val="0"/>
          <w:bCs w:val="0"/>
          <w:spacing w:val="0"/>
          <w:w w:val="100"/>
          <w:position w:val="0"/>
          <w:sz w:val="18"/>
          <w:szCs w:val="18"/>
          <w:shd w:val="clear" w:color="auto" w:fill="auto"/>
          <w:lang w:val="ru-RU" w:eastAsia="ru-RU" w:bidi="ru-RU"/>
        </w:rPr>
        <w:tab/>
        <w:t xml:space="preserve"> №</w:t>
        <w:tab/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 №  от</w:t>
      </w:r>
    </w:p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2597150" cy="182880"/>
            <wp:docPr id="2" name="Picut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2597150" cy="18288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lineRule="exact" w:line="1"/>
        <w:rPr>
          <w:sz w:val="2"/>
          <w:szCs w:val="2"/>
        </w:rPr>
      </w:pPr>
      <w:r>
        <w:br w:type="column"/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Филиалу ФГУП «Охрана»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Росгвардии по Красноярскому краю ул. Новая Заря, 14А, г. Красноярск, 660028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кга8поуаг8к@Гдир-оЬгапа.ги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КГБУ «Многофункциональный центр предоставления государственных и муниципальных услуг»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ул. 9 Мая, д. 12, пом. 462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г. Красноярск, 660125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тГс@24тГс.ш; ^81атди1оVа@24т^с.ш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Агентству государственного заказа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Красноярского края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пр-т Мира, д. 10, оф. 53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г. Красноярск, 660049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адх_рпет@таП.ги; адх 1та81о\@1таП.ги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АО «Сбербанк-АСТ»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erReference w:type="defaul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284" w:right="1088" w:bottom="1217" w:left="1140" w:header="0" w:footer="3" w:gutter="0"/>
          <w:pgNumType w:start="1"/>
          <w:cols w:num="2" w:space="859"/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ко@8ЬегЬапк-а81.ги</w:t>
      </w:r>
    </w:p>
    <w:p>
      <w:pPr>
        <w:widowControl w:val="0"/>
        <w:spacing w:line="166" w:lineRule="exact"/>
        <w:rPr>
          <w:sz w:val="13"/>
          <w:szCs w:val="13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84" w:right="0" w:bottom="1217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ПРЕДПИСАНИЕ № 024/06/106-2958/2024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об устранении нарушений законодательства Российской Федерации в сфере закупок товаров,</w:t>
        <w:br/>
        <w:t>работ, услуг для обеспечения государственных и муниципальных нужд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340" w:line="240" w:lineRule="auto"/>
        <w:ind w:left="0" w:right="0" w:firstLine="0"/>
        <w:jc w:val="both"/>
      </w:pPr>
      <w:r>
        <mc:AlternateContent>
          <mc:Choice Requires="wps">
            <w:drawing>
              <wp:anchor distT="0" distB="0" distL="0" distR="0" simplePos="0" relativeHeight="125829378" behindDoc="0" locked="0" layoutInCell="1" allowOverlap="1">
                <wp:simplePos x="0" y="0"/>
                <wp:positionH relativeFrom="page">
                  <wp:posOffset>6286500</wp:posOffset>
                </wp:positionH>
                <wp:positionV relativeFrom="paragraph">
                  <wp:posOffset>12700</wp:posOffset>
                </wp:positionV>
                <wp:extent cx="905510" cy="213360"/>
                <wp:wrapSquare wrapText="left"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05510" cy="21336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г. Красноярск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495.pt;margin-top:1.pt;width:71.299999999999997pt;height:16.800000000000001pt;z-index:-12582937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г. Красноярск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25 сентября 2024 года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Комиссия Красноярского УФАС России по контролю в сфере закупок в составе: Председатель - Врио руководителя, М.А. Дударева, члены Комиссии — начальник отдела, М.А. Грицай, главный государственный инспектор, Е.М. Хоменко (далее - Комиссия), рассмотрев жалобу филиала ФГУП «Охрана» Росгвардии по Красноярскому краю на действия комиссии по осуществлению закупок Агентства государственного заказа Красноярского края (далее - котировочная комиссия, уполномоченный орган) при проведении запроса котировок в электронной форме К-№-15288/24 «Оказание услуг охраны объектов СП КГБУ «МФЦ», расположенных по адресу: г. Красноярск, ул. Профсоюзов, д. 39А; г. Красноярск, ул. Мужества, д. 10» с извещением № 0119200000124014651 (далее - электронный запрос котировок), проводимого на электронной торговой площадке АО «Сбербанк-АСТ» (далее - оператор электронной площадки), предписывает совершить следующие действия, направленные на устранение нарушений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нужд, прав и законных интересов участников закупки: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29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Заказчику — КГБУ «МФЦ» (далее — заказчик), котировочной комиссии, оператору электронной площадки необходимо отменить все протоколы, составленные в ходе проведения электронного запроса котировок.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19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Оператору электронной площадки не позднее 1 рабочего дня со дня исполнения пункта 1 настоящего предписания:</w:t>
      </w:r>
    </w:p>
    <w:p>
      <w:pPr>
        <w:pStyle w:val="Style13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76" w:val="left"/>
        </w:tabs>
        <w:bidi w:val="0"/>
        <w:spacing w:before="0" w:after="34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вернуть участникам закупки ранее поданные заявки на участие в электронном запросе котировок;</w:t>
      </w:r>
    </w:p>
    <w:p>
      <w:pPr>
        <w:pStyle w:val="Style15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||||||||||||||||||||||||</w:t>
      </w:r>
      <w:bookmarkEnd w:id="0"/>
      <w:r>
        <w:br w:type="page"/>
      </w:r>
    </w:p>
    <w:p>
      <w:pPr>
        <w:pStyle w:val="Style13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6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уведомить участников закупки, подавших заявки на участие в электронном запросе котировок, об отмене протоколов, о прекращении действия заявок, поданных на участие в электронном запросе котировок, и о возможности подать новые заявки на участие в электронном запросе котировок.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73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Заказчику:</w:t>
      </w:r>
    </w:p>
    <w:p>
      <w:pPr>
        <w:pStyle w:val="Style13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6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внести изменения в извещение о проведении электронного запроса котировок и прилагаемые электронные документы с учетом выводов, изложенных в решении Комиссии Красноярского УФАС России № 024/06/106-2958/2024 от 25.09.2024;</w:t>
      </w:r>
    </w:p>
    <w:p>
      <w:pPr>
        <w:pStyle w:val="Style13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6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продлить срок подачи заявок на участие в электронном запросе котировок таким образом, чтобы со дня, следующего за днем размещения изменений, до даты окончания срока подачи заявок на участие в закупке данный срок составлял не менее трех дней. При этом дата рассмотрения заявок на участие в электронном запросе котировок должна быть назначена не позднее двух рабочих дней со дня, следующего за датой окончания срока подачи заявок на участие в закупке, но не позднее даты подведения итогов;</w:t>
      </w:r>
    </w:p>
    <w:p>
      <w:pPr>
        <w:pStyle w:val="Style13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6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назначить новую дату подведения итогов определения поставщика (подрядчика, исполнителя).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3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Заказчику, уполномоченному органу, котировочной комиссии, оператору электронной площадки осуществить дальнейшее проведение процедуры определения поставщика (подрядчика, исполнителя) в соответствии с требованиями законодательства Российской Федерации о контрактной системе в сфере закупок и с учетом выводов, содержащихся в решении Комиссии Красноярского УФАС России № 024/06/106-2958/2024 от 25.09.2024;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73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Указанное предписание необходимо исполнить в срок до 14.10.2024.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Об исполнении предписания сообщить в адрес Красноярского УФАС России в течение 2 (двух) дней с даты его исполнения.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Информируем о том, что 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закупок, образует признаки состава административного правонарушения, предусмотренного частью 7 статьи 19.5 Кодекса Российской Федерации об административных правонарушениях, и может повлечь наложение административного штрафа на должностных лиц в размере пятидесяти тысяч рублей; на юридических лиц - пятисот тысяч рублей.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Предписание может быть обжаловано в арбитражный суд Красноярского края в течение трех месяцев со дня его принятия.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80" behindDoc="0" locked="0" layoutInCell="1" allowOverlap="1">
                <wp:simplePos x="0" y="0"/>
                <wp:positionH relativeFrom="page">
                  <wp:posOffset>6195695</wp:posOffset>
                </wp:positionH>
                <wp:positionV relativeFrom="paragraph">
                  <wp:posOffset>12700</wp:posOffset>
                </wp:positionV>
                <wp:extent cx="990600" cy="560705"/>
                <wp:wrapSquare wrapText="left"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90600" cy="5607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4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М.А. Дударева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М.А. Грицай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487.85000000000002pt;margin-top:1.pt;width:78.pt;height:44.149999999999999pt;z-index:-125829373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4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М.А. Дударева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М.А. Грицай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Председатель Комиссии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Члены Комиссии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184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Е.М. Хоменко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  <w:rPr>
          <w:sz w:val="22"/>
          <w:szCs w:val="22"/>
        </w:rPr>
      </w:pP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ru-RU" w:eastAsia="ru-RU" w:bidi="ru-RU"/>
        </w:rPr>
        <w:t>Исп.Хоменко Е.М. тел.8(391)2110144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284" w:right="537" w:bottom="1217" w:left="1100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721360</wp:posOffset>
              </wp:positionH>
              <wp:positionV relativeFrom="page">
                <wp:posOffset>10016490</wp:posOffset>
              </wp:positionV>
              <wp:extent cx="725170" cy="10033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2024-16467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56.800000000000004pt;margin-top:788.70000000000005pt;width:57.100000000000001pt;height:7.9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2024-16467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9857740</wp:posOffset>
              </wp:positionV>
              <wp:extent cx="725170" cy="10033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2024-16467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57.pt;margin-top:776.20000000000005pt;width:57.100000000000001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2024-16467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abstractNum w:abstractNumId="4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  <w:num w:numId="5">
    <w:abstractNumId w:val="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Колонтитул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6">
    <w:name w:val="Основной текст (2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360A3"/>
      <w:sz w:val="16"/>
      <w:szCs w:val="16"/>
      <w:u w:val="none"/>
    </w:rPr>
  </w:style>
  <w:style w:type="character" w:customStyle="1" w:styleId="CharStyle9">
    <w:name w:val="Основной текст (3)_"/>
    <w:basedOn w:val="DefaultParagraphFont"/>
    <w:link w:val="Style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360A3"/>
      <w:sz w:val="19"/>
      <w:szCs w:val="19"/>
      <w:u w:val="none"/>
    </w:rPr>
  </w:style>
  <w:style w:type="character" w:customStyle="1" w:styleId="CharStyle12">
    <w:name w:val="Подпись к картинке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360A3"/>
      <w:sz w:val="18"/>
      <w:szCs w:val="18"/>
      <w:u w:val="none"/>
    </w:rPr>
  </w:style>
  <w:style w:type="character" w:customStyle="1" w:styleId="CharStyle14">
    <w:name w:val="Основной текст_"/>
    <w:basedOn w:val="DefaultParagraphFont"/>
    <w:link w:val="Style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16">
    <w:name w:val="Заголовок №1_"/>
    <w:basedOn w:val="DefaultParagraphFont"/>
    <w:link w:val="Style15"/>
    <w:rPr>
      <w:rFonts w:ascii="Arial" w:eastAsia="Arial" w:hAnsi="Arial" w:cs="Arial"/>
      <w:b w:val="0"/>
      <w:bCs w:val="0"/>
      <w:i w:val="0"/>
      <w:iCs w:val="0"/>
      <w:smallCaps w:val="0"/>
      <w:strike w:val="0"/>
      <w:sz w:val="38"/>
      <w:szCs w:val="38"/>
      <w:u w:val="none"/>
    </w:rPr>
  </w:style>
  <w:style w:type="paragraph" w:customStyle="1" w:styleId="Style2">
    <w:name w:val="Колонтитул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5">
    <w:name w:val="Основной текст (2)"/>
    <w:basedOn w:val="Normal"/>
    <w:link w:val="CharStyle6"/>
    <w:pPr>
      <w:widowControl w:val="0"/>
      <w:shd w:val="clear" w:color="auto" w:fill="auto"/>
      <w:spacing w:after="440" w:line="281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360A3"/>
      <w:sz w:val="16"/>
      <w:szCs w:val="16"/>
      <w:u w:val="none"/>
    </w:rPr>
  </w:style>
  <w:style w:type="paragraph" w:customStyle="1" w:styleId="Style8">
    <w:name w:val="Основной текст (3)"/>
    <w:basedOn w:val="Normal"/>
    <w:link w:val="CharStyle9"/>
    <w:pPr>
      <w:widowControl w:val="0"/>
      <w:shd w:val="clear" w:color="auto" w:fill="auto"/>
      <w:spacing w:after="180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360A3"/>
      <w:sz w:val="19"/>
      <w:szCs w:val="19"/>
      <w:u w:val="none"/>
    </w:rPr>
  </w:style>
  <w:style w:type="paragraph" w:customStyle="1" w:styleId="Style11">
    <w:name w:val="Подпись к картинке"/>
    <w:basedOn w:val="Normal"/>
    <w:link w:val="CharStyle12"/>
    <w:pPr>
      <w:widowControl w:val="0"/>
      <w:shd w:val="clear" w:color="auto" w:fill="auto"/>
      <w:spacing w:line="264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360A3"/>
      <w:sz w:val="18"/>
      <w:szCs w:val="18"/>
      <w:u w:val="none"/>
    </w:rPr>
  </w:style>
  <w:style w:type="paragraph" w:customStyle="1" w:styleId="Style13">
    <w:name w:val="Основной текст"/>
    <w:basedOn w:val="Normal"/>
    <w:link w:val="CharStyle14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15">
    <w:name w:val="Заголовок №1"/>
    <w:basedOn w:val="Normal"/>
    <w:link w:val="CharStyle16"/>
    <w:pPr>
      <w:widowControl w:val="0"/>
      <w:shd w:val="clear" w:color="auto" w:fill="auto"/>
      <w:spacing w:after="34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8"/>
      <w:szCs w:val="38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footer" Target="footer1.xml"/><Relationship Id="rId10" Type="http://schemas.openxmlformats.org/officeDocument/2006/relationships/footer" Target="footer2.xml"/></Relationships>
</file>