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25400" distR="254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2209800</wp:posOffset>
                </wp:positionV>
                <wp:extent cx="1212850" cy="56070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0.09.2024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85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174.pt;width:95.5pt;height:44.149999999999999pt;z-index:-125829374;mso-wrap-distance-left:2.pt;mso-wrap-distance-right: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0.09.2024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85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1о77@Еа8.еоу.п1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40087/24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b/>
          <w:bCs/>
          <w:color w:val="45609C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ГБПОУ ПК им. П.А. Овчинникова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4одоVО^.рк13@та^1.^и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343" w:bottom="621" w:left="1332" w:header="0" w:footer="3" w:gutter="0"/>
          <w:pgNumType w:start="1"/>
          <w:cols w:num="2" w:space="720" w:equalWidth="0">
            <w:col w:w="3773" w:space="1301"/>
            <w:col w:w="415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«Матрица» кега1а2018@тай.ги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2" w:right="0" w:bottom="6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50800" distR="50800" simplePos="0" relativeHeight="125829381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393700</wp:posOffset>
                </wp:positionV>
                <wp:extent cx="1197610" cy="45720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25.09.2024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550000000000004pt;margin-top:31.pt;width:94.299999999999997pt;height:36.pt;z-index:-125829372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25.09.2024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077/06/106-12849/2024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контролю в сфере закупок товаров, работ, услуг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Н.А. Узкого,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87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</w:t>
        <w:tab/>
        <w:t>обжалования государственных закупок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ГБПОУ ПК им. П.А. Овчинникова: А.А. Тресковой (по доверенности от 24.09.2024 №б/н),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«Матрица»: А.И. Шлычковой (по доверенности от 23.09.2024 №1),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слушателя ГКУ Дирекция ДОНМ: А.В. Ильянковой,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«Матрица» (далее — Заявитель) на действия ГБПОУ ПК им. П.А. Овчинникова (далее — Заказчик) при проведении запроса котировок в электронной форме на право заключения государственного контракта на поставку расходных материалов и комплектующих для оргтехники (оригинальные картриджи) (Закупка № 0373200105824000022) (далее - запрос котировок)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выраженного в составе жалобы, подобное формирование описание объекта закупки неправомерно, поскольку включает в себя требование о поставке исключительно оригинальных товаров, без возможности поставки эквивалентной продукции.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ч.1 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описании объекта закупки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согласно описанию объектов закупки Заказчиком установлены следующие требования к закупаемым расходным материалам, в частности, по п.1 «Комплектующие и запасные части для вычислительных машин, принтеров и многофункциональных печатающих устройств прочие, не включенные в другие группировки» кода ОКПД 226.20.40.190: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«Вид комплектующего изделия/ расходного материала: Тонер; Товарный знак производителя оргтехники: Котса Мто11а; Требование оригинальности комплектующего изделия/расходного материала: Оригинальный(ая)»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рамках обжалуемой закупки Заказчиком закупаются расходные материалы к печатающим устройствам Котса МтоИа, поставленных в рамках иного контракта и находятся на гарантии поставщика оборудования, ввиду чего, для исполнения гарантийных обязательств Заказчику необходимо использовать исключительно оригинальные расходные материалы.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чего, для исполнения гарантийных обязательств Заказчику необходимо использовать исключительно оригинальные расходные материалы, что не противоречит положениям пп. «в» п.1 ч.1 ст.33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представитель Заказчика приложил гарантийную карту по контракту от 03.06.2024 №1324184ЭА, гарантийные обязательства по сохранению гарантии на копировальную технику, документ о приемке многофункциональных устройств Котса МтоИа, а также письмо Котса МтоИа №1799..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положениями ст.33 Закона о контрактной системе определено, что допускается использование в описании объекта закупки указания на товарный знак, в том числе при условии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оборудование, что и было сделано Заказчиком в данной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 принятии решения исходит из того, что в данном случае речь идёт не только о фактической совместимости или несовместимости оборудования Заказчика и расходных материалов сторонних производителей, а также и о потребности Заказчика в оригинальных расходных материалов для сохранения гарантийного обслуживания на имеющееся у него оборудование.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чем Комиссия Управления приходит к выводу о том, что вышеуказанный довод жалобы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2" w:right="542" w:bottom="638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«Матрица» на действия ГБПОУ ПК им. П.А. Овчинникова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60" w:bottom="155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2038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342900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7.pt;width:145.70000000000002pt;height:19.699999999999999pt;z-index:-125829370;mso-wrap-distance-left:0;mso-wrap-distance-top:27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4340" distB="0" distL="0" distR="1807210" simplePos="0" relativeHeight="125829385" behindDoc="0" locked="0" layoutInCell="1" allowOverlap="1">
            <wp:simplePos x="0" y="0"/>
            <wp:positionH relativeFrom="page">
              <wp:posOffset>2969895</wp:posOffset>
            </wp:positionH>
            <wp:positionV relativeFrom="paragraph">
              <wp:posOffset>434340</wp:posOffset>
            </wp:positionV>
            <wp:extent cx="311150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3362960</wp:posOffset>
                </wp:positionH>
                <wp:positionV relativeFrom="paragraph">
                  <wp:posOffset>504190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4.80000000000001pt;margin-top:39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203835" distL="0" distR="0" simplePos="0" relativeHeight="125829386" behindDoc="0" locked="0" layoutInCell="1" allowOverlap="1">
                <wp:simplePos x="0" y="0"/>
                <wp:positionH relativeFrom="page">
                  <wp:posOffset>6332220</wp:posOffset>
                </wp:positionH>
                <wp:positionV relativeFrom="paragraph">
                  <wp:posOffset>342900</wp:posOffset>
                </wp:positionV>
                <wp:extent cx="88074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8.60000000000002pt;margin-top:27.pt;width:69.350000000000009pt;height:19.699999999999999pt;z-index:-125829367;mso-wrap-distance-left:0;mso-wrap-distance-top:27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260" w:right="0" w:firstLine="0"/>
        <w:jc w:val="left"/>
        <w:rPr>
          <w:sz w:val="11"/>
          <w:szCs w:val="11"/>
        </w:rPr>
      </w:pP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0084Е434Е5152Е57С03201780ВА4А68226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280160" distL="114300" distR="120650" simplePos="0" relativeHeight="125829388" behindDoc="0" locked="0" layoutInCell="1" allowOverlap="1">
                <wp:simplePos x="0" y="0"/>
                <wp:positionH relativeFrom="page">
                  <wp:posOffset>5761990</wp:posOffset>
                </wp:positionH>
                <wp:positionV relativeFrom="paragraph">
                  <wp:posOffset>266700</wp:posOffset>
                </wp:positionV>
                <wp:extent cx="1447800" cy="25273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7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А.И. Рахматуллаев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53.69999999999999pt;margin-top:21.pt;width:114.pt;height:19.900000000000002pt;z-index:-125829365;mso-wrap-distance-left:9.pt;mso-wrap-distance-right:9.5pt;mso-wrap-distance-bottom:100.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А.И. Рахматуллаев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283335" distB="0" distL="321310" distR="114935" simplePos="0" relativeHeight="125829390" behindDoc="0" locked="0" layoutInCell="1" allowOverlap="1">
                <wp:simplePos x="0" y="0"/>
                <wp:positionH relativeFrom="page">
                  <wp:posOffset>5969000</wp:posOffset>
                </wp:positionH>
                <wp:positionV relativeFrom="paragraph">
                  <wp:posOffset>1550035</wp:posOffset>
                </wp:positionV>
                <wp:extent cx="1246505" cy="25019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М.В. Сорбучева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0.pt;margin-top:122.05pt;width:98.150000000000006pt;height:19.699999999999999pt;z-index:-125829363;mso-wrap-distance-left:25.300000000000001pt;mso-wrap-distance-top:101.05pt;mso-wrap-distance-right:9.050000000000000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М.В. Сорбучева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9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1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260" w:right="0" w:firstLine="0"/>
        <w:jc w:val="left"/>
        <w:rPr>
          <w:sz w:val="11"/>
          <w:szCs w:val="11"/>
        </w:rPr>
      </w:pPr>
      <w:r>
        <w:rPr>
          <w:b/>
          <w:bCs/>
          <w:color w:val="E9E9E9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969696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ВЗВВ45854ОЕВ6С993Е00602С0ЕВЕЕС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по 30.1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9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1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260" w:right="0" w:firstLine="0"/>
        <w:jc w:val="left"/>
        <w:rPr>
          <w:sz w:val="11"/>
          <w:szCs w:val="11"/>
        </w:rPr>
      </w:pP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00ЕЗВ7121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8Е970424В4041С7997434Е304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56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по 13.12.2025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60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2024-45290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99999999999999pt;margin-top:794.7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2024-45290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2024-45290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2024-45290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436880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5000000000003pt;margin-top:34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 (2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30">
    <w:name w:val="Основной текст (3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35">
    <w:name w:val="Основной текст (5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60"/>
      <w:jc w:val="right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auto"/>
      <w:spacing w:after="50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9">
    <w:name w:val="Основной текст (3)"/>
    <w:basedOn w:val="Normal"/>
    <w:link w:val="CharStyle30"/>
    <w:pPr>
      <w:widowControl w:val="0"/>
      <w:shd w:val="clear" w:color="auto" w:fill="auto"/>
      <w:spacing w:after="100" w:line="218" w:lineRule="auto"/>
      <w:ind w:left="42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34">
    <w:name w:val="Основной текст (5)"/>
    <w:basedOn w:val="Normal"/>
    <w:link w:val="CharStyle3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