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1016635</wp:posOffset>
                </wp:positionH>
                <wp:positionV relativeFrom="paragraph">
                  <wp:posOffset>60960</wp:posOffset>
                </wp:positionV>
                <wp:extent cx="2045335" cy="301625"/>
                <wp:wrapSquare wrapText="bothSides"/>
                <wp:docPr id="1" name="Shape 1"/>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80.049999999999997pt;margin-top:4.7999999999999998pt;width:161.05000000000001pt;height:23.75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62" w:right="1059" w:bottom="621" w:left="6405"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Главное Управление МЧС России по г. Москве</w:t>
      </w:r>
    </w:p>
    <w:p>
      <w:pPr>
        <w:pStyle w:val="Style2"/>
        <w:keepNext w:val="0"/>
        <w:keepLines w:val="0"/>
        <w:framePr w:w="1411" w:h="240" w:wrap="none" w:vAnchor="text" w:hAnchor="page" w:x="2514" w:y="21"/>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p>
      <w:pPr>
        <w:pStyle w:val="Style2"/>
        <w:keepNext w:val="0"/>
        <w:keepLines w:val="0"/>
        <w:framePr w:w="1138" w:h="240" w:wrap="none" w:vAnchor="text" w:hAnchor="page" w:x="2653" w:y="457"/>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p>
      <w:pPr>
        <w:pStyle w:val="Style5"/>
        <w:keepNext w:val="0"/>
        <w:keepLines w:val="0"/>
        <w:framePr w:w="2904" w:h="394" w:wrap="none" w:vAnchor="text" w:hAnchor="page" w:x="6411" w:y="24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хакирИ@77.тск8.домги</w:t>
      </w:r>
    </w:p>
    <w:p>
      <w:pPr>
        <w:pStyle w:val="Style2"/>
        <w:keepNext w:val="0"/>
        <w:keepLines w:val="0"/>
        <w:framePr w:w="2453" w:h="461" w:wrap="none" w:vAnchor="text" w:hAnchor="page" w:x="1986" w:y="87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p>
      <w:pPr>
        <w:pStyle w:val="Style5"/>
        <w:keepNext w:val="0"/>
        <w:keepLines w:val="0"/>
        <w:framePr w:w="1867" w:h="398" w:wrap="none" w:vAnchor="text" w:hAnchor="page" w:x="6406" w:y="84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Ибиев И.К.</w:t>
      </w:r>
    </w:p>
    <w:p>
      <w:pPr>
        <w:pStyle w:val="Style2"/>
        <w:keepNext w:val="0"/>
        <w:keepLines w:val="0"/>
        <w:framePr w:w="3835" w:h="893" w:wrap="none" w:vAnchor="text" w:hAnchor="page" w:x="1270" w:y="1307"/>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11"/>
        <w:keepNext/>
        <w:keepLines/>
        <w:framePr w:w="3835" w:h="893" w:wrap="none" w:vAnchor="text" w:hAnchor="page" w:x="1270" w:y="1307"/>
        <w:widowControl w:val="0"/>
        <w:shd w:val="clear" w:color="auto" w:fill="auto"/>
        <w:tabs>
          <w:tab w:pos="1838" w:val="left"/>
        </w:tabs>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0.09.2024</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40211/24</w:t>
      </w:r>
      <w:bookmarkEnd w:id="0"/>
    </w:p>
    <w:p>
      <w:pPr>
        <w:pStyle w:val="Style5"/>
        <w:keepNext w:val="0"/>
        <w:keepLines w:val="0"/>
        <w:framePr w:w="2098" w:h="398" w:wrap="none" w:vAnchor="text" w:hAnchor="page" w:x="6411" w:y="14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тдаг466@тай.ги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97" w:line="1" w:lineRule="exact"/>
      </w:pPr>
    </w:p>
    <w:p>
      <w:pPr>
        <w:widowControl w:val="0"/>
        <w:spacing w:line="1" w:lineRule="exact"/>
        <w:sectPr>
          <w:footnotePr>
            <w:pos w:val="pageBottom"/>
            <w:numFmt w:val="decimal"/>
            <w:numRestart w:val="continuous"/>
          </w:footnotePr>
          <w:type w:val="continuous"/>
          <w:pgSz w:w="11900" w:h="16840"/>
          <w:pgMar w:top="1162" w:right="536" w:bottom="649" w:left="1106" w:header="0" w:footer="3" w:gutter="0"/>
          <w:cols w:space="720"/>
          <w:noEndnote/>
          <w:rtlGutter w:val="0"/>
          <w:docGrid w:linePitch="360"/>
        </w:sectPr>
      </w:pPr>
    </w:p>
    <w:p>
      <w:pPr>
        <w:pStyle w:val="Style5"/>
        <w:keepNext w:val="0"/>
        <w:keepLines w:val="0"/>
        <w:widowControl w:val="0"/>
        <w:shd w:val="clear" w:color="auto" w:fill="auto"/>
        <w:bidi w:val="0"/>
        <w:spacing w:before="0" w:after="300" w:line="240" w:lineRule="auto"/>
        <w:ind w:left="5320" w:right="0" w:firstLine="0"/>
        <w:jc w:val="both"/>
      </w:pPr>
      <w:r>
        <mc:AlternateContent>
          <mc:Choice Requires="wps">
            <w:drawing>
              <wp:anchor distT="0" distB="0" distL="114300" distR="114300" simplePos="0" relativeHeight="125829380" behindDoc="0" locked="0" layoutInCell="1" allowOverlap="1">
                <wp:simplePos x="0" y="0"/>
                <wp:positionH relativeFrom="page">
                  <wp:posOffset>723900</wp:posOffset>
                </wp:positionH>
                <wp:positionV relativeFrom="paragraph">
                  <wp:posOffset>203200</wp:posOffset>
                </wp:positionV>
                <wp:extent cx="311150" cy="152400"/>
                <wp:wrapSquare wrapText="right"/>
                <wp:docPr id="9" name="Shape 9"/>
                <a:graphic xmlns:a="http://schemas.openxmlformats.org/drawingml/2006/main">
                  <a:graphicData uri="http://schemas.microsoft.com/office/word/2010/wordprocessingShape">
                    <wps:wsp>
                      <wps:cNvSpPr txBox="1"/>
                      <wps:spPr>
                        <a:xfrm>
                          <a:ext cx="31115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На№</w:t>
                            </w:r>
                          </w:p>
                        </w:txbxContent>
                      </wps:txbx>
                      <wps:bodyPr wrap="none" lIns="0" tIns="0" rIns="0" bIns="0">
                        <a:noAutoFit/>
                      </wps:bodyPr>
                    </wps:wsp>
                  </a:graphicData>
                </a:graphic>
              </wp:anchor>
            </w:drawing>
          </mc:Choice>
          <mc:Fallback>
            <w:pict>
              <v:shape id="_x0000_s1035" type="#_x0000_t202" style="position:absolute;margin-left:57.pt;margin-top:16.pt;width:24.5pt;height:12.pt;z-index:-12582937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На№</w:t>
                      </w:r>
                    </w:p>
                  </w:txbxContent>
                </v:textbox>
                <w10:wrap type="square" side="right" anchorx="page"/>
              </v:shape>
            </w:pict>
          </mc:Fallback>
        </mc:AlternateContent>
      </w:r>
      <w:r>
        <w:rPr>
          <w:color w:val="000000"/>
          <w:spacing w:val="0"/>
          <w:w w:val="100"/>
          <w:position w:val="0"/>
          <w:shd w:val="clear" w:color="auto" w:fill="auto"/>
          <w:lang w:val="ru-RU" w:eastAsia="ru-RU" w:bidi="ru-RU"/>
        </w:rPr>
        <w:t>АО «Сбербанк-АСТ»</w:t>
      </w:r>
    </w:p>
    <w:p>
      <w:pPr>
        <w:pStyle w:val="Style5"/>
        <w:keepNext w:val="0"/>
        <w:keepLines w:val="0"/>
        <w:widowControl w:val="0"/>
        <w:shd w:val="clear" w:color="auto" w:fill="auto"/>
        <w:bidi w:val="0"/>
        <w:spacing w:before="0" w:after="780" w:line="240" w:lineRule="auto"/>
        <w:ind w:left="0" w:right="0" w:firstLine="0"/>
        <w:jc w:val="right"/>
      </w:pPr>
      <w:r>
        <w:rPr>
          <w:color w:val="000000"/>
          <w:spacing w:val="0"/>
          <w:w w:val="100"/>
          <w:position w:val="0"/>
          <w:shd w:val="clear" w:color="auto" w:fill="auto"/>
          <w:lang w:val="ru-RU" w:eastAsia="ru-RU" w:bidi="ru-RU"/>
        </w:rPr>
        <w:t>ко@8ЪегЪапк-а81.ги, т!о@8ЪегЪапк-а81:.ги</w:t>
      </w: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077/06/106-12874/2024 о нарушении</w:t>
        <w:br/>
        <w:t>законодательства о контрактной системе</w:t>
      </w:r>
    </w:p>
    <w:p>
      <w:pPr>
        <w:pStyle w:val="Style5"/>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82" behindDoc="0" locked="0" layoutInCell="1" allowOverlap="1">
                <wp:simplePos x="0" y="0"/>
                <wp:positionH relativeFrom="page">
                  <wp:posOffset>6393180</wp:posOffset>
                </wp:positionH>
                <wp:positionV relativeFrom="paragraph">
                  <wp:posOffset>38100</wp:posOffset>
                </wp:positionV>
                <wp:extent cx="798830" cy="201295"/>
                <wp:wrapSquare wrapText="left"/>
                <wp:docPr id="11" name="Shape 11"/>
                <a:graphic xmlns:a="http://schemas.openxmlformats.org/drawingml/2006/main">
                  <a:graphicData uri="http://schemas.microsoft.com/office/word/2010/wordprocessingShape">
                    <wps:wsp>
                      <wps:cNvSpPr txBox="1"/>
                      <wps:spPr>
                        <a:xfrm>
                          <a:ext cx="798830" cy="2012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wps:txbx>
                      <wps:bodyPr wrap="none" lIns="0" tIns="0" rIns="0" bIns="0">
                        <a:noAutoFit/>
                      </wps:bodyPr>
                    </wps:wsp>
                  </a:graphicData>
                </a:graphic>
              </wp:anchor>
            </w:drawing>
          </mc:Choice>
          <mc:Fallback>
            <w:pict>
              <v:shape id="_x0000_s1037" type="#_x0000_t202" style="position:absolute;margin-left:503.40000000000003pt;margin-top:3.pt;width:62.899999999999999pt;height:15.85pt;z-index:-125829371;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25.09.2024</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М.О. Мацневой,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Управления МЧС России по г. Москве: В.Н. Аникеева (дов. № ДВ-108-63-14 от 19.03.2024), М.И. Попова (дов. № ДВ-108-29-11 от 23.01.2024),</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отсутствии представителей ИП Ибиев И.К.,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5"/>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рассмотрев жалобу ИП Ибиев И.К. (далее — Заявитель) на действия Главного Управления МЧС России по г. Москве (далее — Заказчик) при проведении электронного аукциона на право заключения государственного контракта на поставку индивидуальных пайков (суточных) для сотрудников Главного управления МЧС России по г. Москве (ДТО_ДТО_прод) (Закупка № 0373100107724000039) (далее - электронный аукцион, аукцион) в соответствии с Федеральным законом от 05.04.2013 №44-ФЗ «О контрактной системе в сфере закупок товаров, работ, услуг</w:t>
      </w:r>
    </w:p>
    <w:p>
      <w:pPr>
        <w:pStyle w:val="Style15"/>
        <w:keepNext/>
        <w:keepLines/>
        <w:widowControl w:val="0"/>
        <w:shd w:val="clear" w:color="auto" w:fill="auto"/>
        <w:bidi w:val="0"/>
        <w:spacing w:before="0" w:after="0" w:line="240" w:lineRule="auto"/>
        <w:ind w:left="0" w:right="0"/>
        <w:jc w:val="both"/>
        <w:rPr>
          <w:sz w:val="28"/>
          <w:szCs w:val="28"/>
        </w:rPr>
      </w:pPr>
      <w:bookmarkStart w:id="2" w:name="bookmark2"/>
      <w:r>
        <w:rPr>
          <w:color w:val="000000"/>
          <w:spacing w:val="0"/>
          <w:w w:val="100"/>
          <w:position w:val="0"/>
          <w:sz w:val="34"/>
          <w:szCs w:val="34"/>
          <w:shd w:val="clear" w:color="auto" w:fill="auto"/>
          <w:lang w:val="ru-RU" w:eastAsia="ru-RU" w:bidi="ru-RU"/>
        </w:rPr>
        <w:t>||||||||||||||||||||||||||||</w:t>
      </w:r>
      <w:bookmarkEnd w:id="2"/>
      <w:r>
        <w:rPr>
          <w:color w:val="000000"/>
          <w:spacing w:val="0"/>
          <w:w w:val="100"/>
          <w:position w:val="0"/>
          <w:sz w:val="34"/>
          <w:szCs w:val="34"/>
          <w:shd w:val="clear" w:color="auto" w:fill="auto"/>
          <w:lang w:val="ru-RU" w:eastAsia="ru-RU" w:bidi="ru-RU"/>
        </w:rPr>
        <w:t xml:space="preserve"> </w:t>
      </w:r>
      <w:r>
        <w:rPr>
          <w:rStyle w:val="CharStyle6"/>
        </w:rPr>
        <w:t>для обеспечения государственных и муниципальных нужд» (далее - Закон о контрактной системе),</w:t>
      </w:r>
    </w:p>
    <w:p>
      <w:pPr>
        <w:pStyle w:val="Style5"/>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при проведении вышеуказанного электронного аукциона.</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Московским УФАС России, Комиссия Управления установила следующее.</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Заказчика (далее—комиссия Заказчика), выразившиеся в отклонении заявки Заявителя.</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исполнителя) от 17.09.2024 №ИЭА1 заявка Заявителя (идентификационный номер 158) отклонена на следующем основании: </w:t>
      </w:r>
      <w:r>
        <w:rPr>
          <w:i/>
          <w:iCs/>
          <w:color w:val="000000"/>
          <w:spacing w:val="0"/>
          <w:w w:val="100"/>
          <w:position w:val="0"/>
          <w:shd w:val="clear" w:color="auto" w:fill="auto"/>
          <w:lang w:val="ru-RU" w:eastAsia="ru-RU" w:bidi="ru-RU"/>
        </w:rPr>
        <w:t>«(п.1 ч.12 ст. 48) - непредставление информации и документов, предусмотренных извещением, несоответствие таких информации и документов (Отсутствуют функциональные характеристики: п.17. «Соус томатный» По физико-химическим показателям соус томатный соответствует следующим нормам: массовая доля сухих растворимых веществ - не менее 27</w:t>
      </w:r>
      <w:r>
        <w:rPr>
          <w:i/>
          <w:iCs/>
          <w:color w:val="000000"/>
          <w:spacing w:val="0"/>
          <w:w w:val="100"/>
          <w:position w:val="0"/>
          <w:shd w:val="clear" w:color="auto" w:fill="auto"/>
          <w:vertAlign w:val="superscript"/>
          <w:lang w:val="ru-RU" w:eastAsia="ru-RU" w:bidi="ru-RU"/>
        </w:rPr>
        <w:t>О</w:t>
      </w:r>
      <w:r>
        <w:rPr>
          <w:i/>
          <w:iCs/>
          <w:color w:val="000000"/>
          <w:spacing w:val="0"/>
          <w:w w:val="100"/>
          <w:position w:val="0"/>
          <w:shd w:val="clear" w:color="auto" w:fill="auto"/>
          <w:lang w:val="ru-RU" w:eastAsia="ru-RU" w:bidi="ru-RU"/>
        </w:rPr>
        <w:t>%; рН - не более 3,9. Участнику необходимо указать конкретное значение. п.22 «Разогреватель портативный» Не выбраны конкретные показатели. Разогреватель портативный изготовлен по техническим условиям производителя. Представляет собой комплект, состоящий из металлического таганка, имеющего ребра жесткости для обеспечения надежной устойчивости разогревателя и подогреваемого продукта, и не менее 3 таблеток цилиндрической формы сухого горючего белого цвета, герметично упакованных в 1 пакет. Применяемое для изготовления разогревателя сухое горючее соответствует требованиям технических условий производителя и имеет вид таблетки белого цвета, масса таблетки не шире диапазона 10,0±0,9 г. Время горения одной таблетки сухого горючего не менее 9,0 мин. Участнику необходимо указать конкретное значение. п.27 «Салфетки дезинфицирующие». Площадь развертки одной салфетки не менее 0,024 м2. Участнику необходимо указать конкретное значение)».</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w:t>
      </w:r>
      <w:r>
        <w:rPr>
          <w:color w:val="000000"/>
          <w:spacing w:val="0"/>
          <w:w w:val="100"/>
          <w:position w:val="0"/>
          <w:shd w:val="clear" w:color="auto" w:fill="auto"/>
          <w:lang w:val="ru-RU" w:eastAsia="ru-RU" w:bidi="ru-RU"/>
        </w:rPr>
        <w:t>размещает в единой информационной системе извещение об осуществлении закупки.</w:t>
      </w:r>
    </w:p>
    <w:p>
      <w:pPr>
        <w:pStyle w:val="Style5"/>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5"/>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5"/>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5"/>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На основании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5"/>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5"/>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5"/>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Согласно пп.«а», пп. «б»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5"/>
        <w:keepNext w:val="0"/>
        <w:keepLines w:val="0"/>
        <w:widowControl w:val="0"/>
        <w:numPr>
          <w:ilvl w:val="0"/>
          <w:numId w:val="1"/>
        </w:numPr>
        <w:shd w:val="clear" w:color="auto" w:fill="auto"/>
        <w:tabs>
          <w:tab w:pos="921"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извещении об осуществлении закупки;</w:t>
      </w:r>
    </w:p>
    <w:p>
      <w:pPr>
        <w:pStyle w:val="Style5"/>
        <w:keepNext w:val="0"/>
        <w:keepLines w:val="0"/>
        <w:widowControl w:val="0"/>
        <w:numPr>
          <w:ilvl w:val="0"/>
          <w:numId w:val="1"/>
        </w:numPr>
        <w:shd w:val="clear" w:color="auto" w:fill="auto"/>
        <w:tabs>
          <w:tab w:pos="903"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приглашении принять участие в определении поставщика (подрядчика, исполнителя) (далее — приглашение);</w:t>
      </w:r>
    </w:p>
    <w:p>
      <w:pPr>
        <w:pStyle w:val="Style5"/>
        <w:keepNext w:val="0"/>
        <w:keepLines w:val="0"/>
        <w:widowControl w:val="0"/>
        <w:numPr>
          <w:ilvl w:val="0"/>
          <w:numId w:val="1"/>
        </w:numPr>
        <w:shd w:val="clear" w:color="auto" w:fill="auto"/>
        <w:tabs>
          <w:tab w:pos="903"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документации о закупке (в случае если Федеральным законом предусмотрена документация о закупке);</w:t>
      </w:r>
    </w:p>
    <w:p>
      <w:pPr>
        <w:pStyle w:val="Style5"/>
        <w:keepNext w:val="0"/>
        <w:keepLines w:val="0"/>
        <w:widowControl w:val="0"/>
        <w:numPr>
          <w:ilvl w:val="0"/>
          <w:numId w:val="1"/>
        </w:numPr>
        <w:shd w:val="clear" w:color="auto" w:fill="auto"/>
        <w:tabs>
          <w:tab w:pos="932" w:val="left"/>
        </w:tabs>
        <w:bidi w:val="0"/>
        <w:spacing w:before="0" w:after="40" w:line="240" w:lineRule="auto"/>
        <w:ind w:left="0" w:right="0" w:firstLine="720"/>
        <w:jc w:val="both"/>
      </w:pPr>
      <w:r>
        <w:rPr>
          <w:color w:val="000000"/>
          <w:spacing w:val="0"/>
          <w:w w:val="100"/>
          <w:position w:val="0"/>
          <w:shd w:val="clear" w:color="auto" w:fill="auto"/>
          <w:lang w:val="ru-RU" w:eastAsia="ru-RU" w:bidi="ru-RU"/>
        </w:rPr>
        <w:t>контракте;</w:t>
      </w:r>
    </w:p>
    <w:p>
      <w:pPr>
        <w:pStyle w:val="Style5"/>
        <w:keepNext w:val="0"/>
        <w:keepLines w:val="0"/>
        <w:widowControl w:val="0"/>
        <w:numPr>
          <w:ilvl w:val="0"/>
          <w:numId w:val="1"/>
        </w:numPr>
        <w:shd w:val="clear" w:color="auto" w:fill="auto"/>
        <w:tabs>
          <w:tab w:pos="932" w:val="left"/>
        </w:tabs>
        <w:bidi w:val="0"/>
        <w:spacing w:before="0" w:after="40" w:line="240" w:lineRule="auto"/>
        <w:ind w:left="0" w:right="0" w:firstLine="720"/>
        <w:jc w:val="both"/>
      </w:pPr>
      <w:r>
        <w:rPr>
          <w:color w:val="000000"/>
          <w:spacing w:val="0"/>
          <w:w w:val="100"/>
          <w:position w:val="0"/>
          <w:shd w:val="clear" w:color="auto" w:fill="auto"/>
          <w:lang w:val="ru-RU" w:eastAsia="ru-RU" w:bidi="ru-RU"/>
        </w:rPr>
        <w:t>реестре контрактов, заключенных заказчиками;</w:t>
      </w:r>
    </w:p>
    <w:p>
      <w:pPr>
        <w:pStyle w:val="Style5"/>
        <w:keepNext w:val="0"/>
        <w:keepLines w:val="0"/>
        <w:widowControl w:val="0"/>
        <w:numPr>
          <w:ilvl w:val="0"/>
          <w:numId w:val="1"/>
        </w:numPr>
        <w:shd w:val="clear" w:color="auto" w:fill="auto"/>
        <w:tabs>
          <w:tab w:pos="105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описания объектов закупки, которое включается в извещение об осуществлении закупки, приглашение и документацию о закупке.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w:t>
      </w:r>
      <w:r>
        <w:rPr>
          <w:i/>
          <w:iCs/>
          <w:color w:val="000000"/>
          <w:spacing w:val="0"/>
          <w:w w:val="100"/>
          <w:position w:val="0"/>
          <w:shd w:val="clear" w:color="auto" w:fill="auto"/>
          <w:lang w:val="ru-RU" w:eastAsia="ru-RU" w:bidi="ru-RU"/>
        </w:rPr>
        <w:t xml:space="preserve">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w:t>
      </w:r>
      <w:r>
        <w:rPr>
          <w:b/>
          <w:bCs/>
          <w:i/>
          <w:iCs/>
          <w:color w:val="000000"/>
          <w:spacing w:val="0"/>
          <w:w w:val="100"/>
          <w:position w:val="0"/>
          <w:shd w:val="clear" w:color="auto" w:fill="auto"/>
          <w:lang w:val="ru-RU" w:eastAsia="ru-RU" w:bidi="ru-RU"/>
        </w:rPr>
        <w:t>указываются с использованием единой информационной системы при формировании извещения об осуществлении закупки</w:t>
      </w:r>
      <w:r>
        <w:rPr>
          <w:i/>
          <w:iCs/>
          <w:color w:val="000000"/>
          <w:spacing w:val="0"/>
          <w:w w:val="100"/>
          <w:position w:val="0"/>
          <w:shd w:val="clear" w:color="auto" w:fill="auto"/>
          <w:lang w:val="ru-RU" w:eastAsia="ru-RU" w:bidi="ru-RU"/>
        </w:rPr>
        <w:t>, приглашения принять участие в определении поставщика (подрядчика, исполнителя) в соответствии с ч.1 ст.42, п.1 ч.1 ст. 75 Закона о контрактной системе соответственно.</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п.1, п.3 ч.2 ст.42 Закона о контрактной системе, извещение об осуществлении закупки должно содержать электронные документы с описанием объекта закупки в соответствии со ст.33 Закона о контрактной системе, с требованиями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5"/>
        <w:keepNext w:val="0"/>
        <w:keepLines w:val="0"/>
        <w:widowControl w:val="0"/>
        <w:shd w:val="clear" w:color="auto" w:fill="auto"/>
        <w:bidi w:val="0"/>
        <w:spacing w:before="0" w:after="36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Заказчиком в структурированном извещении об осуществлении закупки установлены требования в следующем виде:</w:t>
      </w:r>
    </w:p>
    <w:tbl>
      <w:tblPr>
        <w:tblOverlap w:val="never"/>
        <w:jc w:val="center"/>
        <w:tblLayout w:type="fixed"/>
      </w:tblPr>
      <w:tblGrid>
        <w:gridCol w:w="2347"/>
        <w:gridCol w:w="965"/>
        <w:gridCol w:w="917"/>
        <w:gridCol w:w="1325"/>
        <w:gridCol w:w="1099"/>
        <w:gridCol w:w="2141"/>
        <w:gridCol w:w="1330"/>
      </w:tblGrid>
      <w:tr>
        <w:trPr>
          <w:trHeight w:val="576"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307" w:lineRule="auto"/>
              <w:ind w:left="0" w:right="0" w:firstLine="0"/>
              <w:jc w:val="center"/>
              <w:rPr>
                <w:sz w:val="15"/>
                <w:szCs w:val="15"/>
              </w:rPr>
            </w:pPr>
            <w:r>
              <w:rPr>
                <w:b/>
                <w:bCs/>
                <w:color w:val="000000"/>
                <w:spacing w:val="0"/>
                <w:w w:val="100"/>
                <w:position w:val="0"/>
                <w:sz w:val="15"/>
                <w:szCs w:val="15"/>
                <w:shd w:val="clear" w:color="auto" w:fill="auto"/>
                <w:lang w:val="ru-RU" w:eastAsia="ru-RU" w:bidi="ru-RU"/>
              </w:rPr>
              <w:t>Наименование товара, работы, услуги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300" w:lineRule="auto"/>
              <w:ind w:left="0" w:right="0" w:firstLine="0"/>
              <w:jc w:val="center"/>
              <w:rPr>
                <w:sz w:val="15"/>
                <w:szCs w:val="15"/>
              </w:rPr>
            </w:pPr>
            <w:r>
              <w:rPr>
                <w:b/>
                <w:bCs/>
                <w:color w:val="000000"/>
                <w:spacing w:val="0"/>
                <w:w w:val="100"/>
                <w:position w:val="0"/>
                <w:sz w:val="15"/>
                <w:szCs w:val="15"/>
                <w:shd w:val="clear" w:color="auto" w:fill="auto"/>
                <w:lang w:val="ru-RU" w:eastAsia="ru-RU" w:bidi="ru-RU"/>
              </w:rPr>
              <w:t>Код позиции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95" w:lineRule="auto"/>
              <w:ind w:left="0" w:right="0" w:firstLine="0"/>
              <w:jc w:val="center"/>
              <w:rPr>
                <w:sz w:val="15"/>
                <w:szCs w:val="15"/>
              </w:rPr>
            </w:pPr>
            <w:r>
              <w:rPr>
                <w:b/>
                <w:bCs/>
                <w:color w:val="000000"/>
                <w:spacing w:val="0"/>
                <w:w w:val="100"/>
                <w:position w:val="0"/>
                <w:sz w:val="15"/>
                <w:szCs w:val="15"/>
                <w:shd w:val="clear" w:color="auto" w:fill="auto"/>
                <w:lang w:val="ru-RU" w:eastAsia="ru-RU" w:bidi="ru-RU"/>
              </w:rPr>
              <w:t>Тип позиции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300" w:lineRule="auto"/>
              <w:ind w:left="0" w:right="0" w:firstLine="0"/>
              <w:jc w:val="center"/>
              <w:rPr>
                <w:sz w:val="15"/>
                <w:szCs w:val="15"/>
              </w:rPr>
            </w:pPr>
            <w:r>
              <w:rPr>
                <w:b/>
                <w:bCs/>
                <w:color w:val="000000"/>
                <w:spacing w:val="0"/>
                <w:w w:val="100"/>
                <w:position w:val="0"/>
                <w:sz w:val="15"/>
                <w:szCs w:val="15"/>
                <w:shd w:val="clear" w:color="auto" w:fill="auto"/>
                <w:lang w:val="ru-RU" w:eastAsia="ru-RU" w:bidi="ru-RU"/>
              </w:rPr>
              <w:t>Единица измерения</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307" w:lineRule="auto"/>
              <w:ind w:left="0" w:right="0" w:firstLine="0"/>
              <w:jc w:val="center"/>
              <w:rPr>
                <w:sz w:val="15"/>
                <w:szCs w:val="15"/>
              </w:rPr>
            </w:pPr>
            <w:r>
              <w:rPr>
                <w:b/>
                <w:bCs/>
                <w:color w:val="000000"/>
                <w:spacing w:val="0"/>
                <w:w w:val="100"/>
                <w:position w:val="0"/>
                <w:sz w:val="15"/>
                <w:szCs w:val="15"/>
                <w:shd w:val="clear" w:color="auto" w:fill="auto"/>
                <w:lang w:val="ru-RU" w:eastAsia="ru-RU" w:bidi="ru-RU"/>
              </w:rPr>
              <w:t>Цена за единиц}'</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300" w:lineRule="auto"/>
              <w:ind w:left="0" w:right="0" w:firstLine="0"/>
              <w:jc w:val="center"/>
              <w:rPr>
                <w:sz w:val="15"/>
                <w:szCs w:val="15"/>
              </w:rPr>
            </w:pPr>
            <w:r>
              <w:rPr>
                <w:b/>
                <w:bCs/>
                <w:color w:val="000000"/>
                <w:spacing w:val="0"/>
                <w:w w:val="100"/>
                <w:position w:val="0"/>
                <w:sz w:val="15"/>
                <w:szCs w:val="15"/>
                <w:shd w:val="clear" w:color="auto" w:fill="auto"/>
                <w:lang w:val="ru-RU" w:eastAsia="ru-RU" w:bidi="ru-RU"/>
              </w:rPr>
              <w:t>Количество (объем работы, услуги)</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300" w:lineRule="auto"/>
              <w:ind w:left="0" w:right="0" w:firstLine="0"/>
              <w:jc w:val="center"/>
              <w:rPr>
                <w:sz w:val="15"/>
                <w:szCs w:val="15"/>
              </w:rPr>
            </w:pPr>
            <w:r>
              <w:rPr>
                <w:b/>
                <w:bCs/>
                <w:color w:val="000000"/>
                <w:spacing w:val="0"/>
                <w:w w:val="100"/>
                <w:position w:val="0"/>
                <w:sz w:val="15"/>
                <w:szCs w:val="15"/>
                <w:shd w:val="clear" w:color="auto" w:fill="auto"/>
                <w:lang w:val="ru-RU" w:eastAsia="ru-RU" w:bidi="ru-RU"/>
              </w:rPr>
              <w:t>Стоимость позиции</w:t>
            </w:r>
          </w:p>
        </w:tc>
      </w:tr>
      <w:tr>
        <w:trPr>
          <w:trHeight w:val="590" w:hRule="exact"/>
        </w:trPr>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40" w:line="240" w:lineRule="auto"/>
              <w:ind w:left="0" w:right="0" w:firstLine="0"/>
              <w:jc w:val="left"/>
              <w:rPr>
                <w:sz w:val="15"/>
                <w:szCs w:val="15"/>
              </w:rPr>
            </w:pPr>
            <w:r>
              <w:rPr>
                <w:color w:val="282728"/>
                <w:spacing w:val="0"/>
                <w:w w:val="100"/>
                <w:position w:val="0"/>
                <w:sz w:val="15"/>
                <w:szCs w:val="15"/>
                <w:shd w:val="clear" w:color="auto" w:fill="auto"/>
                <w:lang w:val="ru-RU" w:eastAsia="ru-RU" w:bidi="ru-RU"/>
              </w:rPr>
              <w:t xml:space="preserve">Рационы питания </w:t>
            </w:r>
            <w:r>
              <w:rPr>
                <w:color w:val="000000"/>
                <w:spacing w:val="0"/>
                <w:w w:val="100"/>
                <w:position w:val="0"/>
                <w:sz w:val="15"/>
                <w:szCs w:val="15"/>
                <w:shd w:val="clear" w:color="auto" w:fill="auto"/>
                <w:lang w:val="ru-RU" w:eastAsia="ru-RU" w:bidi="ru-RU"/>
              </w:rPr>
              <w:t xml:space="preserve">и </w:t>
            </w:r>
            <w:r>
              <w:rPr>
                <w:color w:val="282728"/>
                <w:spacing w:val="0"/>
                <w:w w:val="100"/>
                <w:position w:val="0"/>
                <w:sz w:val="15"/>
                <w:szCs w:val="15"/>
                <w:shd w:val="clear" w:color="auto" w:fill="auto"/>
                <w:lang w:val="ru-RU" w:eastAsia="ru-RU" w:bidi="ru-RU"/>
              </w:rPr>
              <w:t>пайки</w:t>
            </w:r>
          </w:p>
          <w:p>
            <w:pPr>
              <w:pStyle w:val="Style22"/>
              <w:keepNext w:val="0"/>
              <w:keepLines w:val="0"/>
              <w:widowControl w:val="0"/>
              <w:shd w:val="clear" w:color="auto" w:fill="auto"/>
              <w:bidi w:val="0"/>
              <w:spacing w:before="0" w:after="0" w:line="240" w:lineRule="auto"/>
              <w:ind w:left="0" w:right="0" w:firstLine="0"/>
              <w:jc w:val="left"/>
              <w:rPr>
                <w:sz w:val="15"/>
                <w:szCs w:val="15"/>
              </w:rPr>
            </w:pPr>
            <w:r>
              <w:rPr>
                <w:color w:val="282728"/>
                <w:spacing w:val="0"/>
                <w:w w:val="100"/>
                <w:position w:val="0"/>
                <w:sz w:val="15"/>
                <w:szCs w:val="15"/>
                <w:shd w:val="clear" w:color="auto" w:fill="auto"/>
                <w:lang w:val="ru-RU" w:eastAsia="ru-RU" w:bidi="ru-RU"/>
              </w:rPr>
              <w:t>Идентификатор: 159959280</w:t>
            </w: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5"/>
                <w:szCs w:val="15"/>
              </w:rPr>
            </w:pPr>
            <w:r>
              <w:rPr>
                <w:color w:val="494C4B"/>
                <w:spacing w:val="0"/>
                <w:w w:val="100"/>
                <w:position w:val="0"/>
                <w:sz w:val="15"/>
                <w:szCs w:val="15"/>
                <w:shd w:val="clear" w:color="auto" w:fill="auto"/>
                <w:lang w:val="ru-RU" w:eastAsia="ru-RU" w:bidi="ru-RU"/>
              </w:rPr>
              <w:t>10.89.19.160</w:t>
            </w: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5"/>
                <w:szCs w:val="15"/>
              </w:rPr>
            </w:pPr>
            <w:r>
              <w:rPr>
                <w:color w:val="282728"/>
                <w:spacing w:val="0"/>
                <w:w w:val="100"/>
                <w:position w:val="0"/>
                <w:sz w:val="15"/>
                <w:szCs w:val="15"/>
                <w:shd w:val="clear" w:color="auto" w:fill="auto"/>
                <w:lang w:val="ru-RU" w:eastAsia="ru-RU" w:bidi="ru-RU"/>
              </w:rPr>
              <w:t>Товар</w:t>
            </w: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5"/>
                <w:szCs w:val="15"/>
              </w:rPr>
            </w:pPr>
            <w:r>
              <w:rPr>
                <w:color w:val="282728"/>
                <w:spacing w:val="0"/>
                <w:w w:val="100"/>
                <w:position w:val="0"/>
                <w:sz w:val="15"/>
                <w:szCs w:val="15"/>
                <w:shd w:val="clear" w:color="auto" w:fill="auto"/>
                <w:lang w:val="ru-RU" w:eastAsia="ru-RU" w:bidi="ru-RU"/>
              </w:rPr>
              <w:t>Штука</w:t>
            </w: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5"/>
                <w:szCs w:val="15"/>
              </w:rPr>
            </w:pPr>
            <w:r>
              <w:rPr>
                <w:color w:val="282728"/>
                <w:spacing w:val="0"/>
                <w:w w:val="100"/>
                <w:position w:val="0"/>
                <w:sz w:val="15"/>
                <w:szCs w:val="15"/>
                <w:shd w:val="clear" w:color="auto" w:fill="auto"/>
                <w:lang w:val="ru-RU" w:eastAsia="ru-RU" w:bidi="ru-RU"/>
              </w:rPr>
              <w:t>1022.33</w:t>
            </w: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5"/>
                <w:szCs w:val="15"/>
              </w:rPr>
            </w:pPr>
            <w:r>
              <w:rPr>
                <w:color w:val="39353D"/>
                <w:spacing w:val="0"/>
                <w:w w:val="100"/>
                <w:position w:val="0"/>
                <w:sz w:val="15"/>
                <w:szCs w:val="15"/>
                <w:shd w:val="clear" w:color="auto" w:fill="auto"/>
                <w:lang w:val="ru-RU" w:eastAsia="ru-RU" w:bidi="ru-RU"/>
              </w:rPr>
              <w:t>635</w:t>
            </w:r>
          </w:p>
        </w:tc>
        <w:tc>
          <w:tcPr>
            <w:tcBorders>
              <w:top w:val="single" w:sz="4"/>
              <w:left w:val="single" w:sz="4"/>
              <w:bottom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ru-RU" w:eastAsia="ru-RU" w:bidi="ru-RU"/>
              </w:rPr>
              <w:t>649179.55</w:t>
            </w:r>
          </w:p>
        </w:tc>
      </w:tr>
    </w:tbl>
    <w:p>
      <w:pPr>
        <w:pStyle w:val="Style20"/>
        <w:keepNext w:val="0"/>
        <w:keepLines w:val="0"/>
        <w:widowControl w:val="0"/>
        <w:shd w:val="clear" w:color="auto" w:fill="auto"/>
        <w:bidi w:val="0"/>
        <w:spacing w:before="0" w:after="0" w:line="240" w:lineRule="auto"/>
        <w:ind w:left="10085" w:right="0" w:firstLine="0"/>
        <w:jc w:val="left"/>
      </w:pPr>
      <w:r>
        <w:rPr>
          <w:color w:val="000000"/>
          <w:spacing w:val="0"/>
          <w:w w:val="100"/>
          <w:position w:val="0"/>
          <w:shd w:val="clear" w:color="auto" w:fill="auto"/>
          <w:lang w:val="ru-RU" w:eastAsia="ru-RU" w:bidi="ru-RU"/>
        </w:rPr>
        <w:t>।</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в составе извещения о проведении электронного аукциона также прикреплен файл «Описание объекта закупки на товар», в котором установлены требования к товарам, в частности: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п.17 «Соус томатный»: «По физико-химическим показателям соус томатный соответствует следующим нормам: массовая доля сухих растворимых веществ - не менее 27%; рН - не более 3,9»,</w:t>
      </w:r>
    </w:p>
    <w:p>
      <w:pPr>
        <w:pStyle w:val="Style5"/>
        <w:keepNext w:val="0"/>
        <w:keepLines w:val="0"/>
        <w:widowControl w:val="0"/>
        <w:shd w:val="clear" w:color="auto" w:fill="auto"/>
        <w:bidi w:val="0"/>
        <w:spacing w:before="0" w:after="200" w:line="240" w:lineRule="auto"/>
        <w:ind w:left="0" w:right="0" w:firstLine="720"/>
        <w:jc w:val="both"/>
      </w:pPr>
      <w:r>
        <w:rPr>
          <w:color w:val="000000"/>
          <w:spacing w:val="0"/>
          <w:w w:val="100"/>
          <w:position w:val="0"/>
          <w:shd w:val="clear" w:color="auto" w:fill="auto"/>
          <w:lang w:val="ru-RU" w:eastAsia="ru-RU" w:bidi="ru-RU"/>
        </w:rPr>
        <w:t>по п.22 «Разогреватель портативный»: «Представляет собой комплект, состоящий из металлического таганка, имеющего ребра жесткости для обеспечения надежной устойчивости разогревателя и подогреваемого продукта, и не менее 3 таблеток цилиндрической формы сухого горючего белого цвета, герметично упакованных в 1 пакет. Применяемое для изготовления разогревателя сухое горючее соответствует требованиям технических условий производителя и имеет вид таблетки белого цвета, масса таблетки не шире диапазона 10,0±0,9 г. Время горения одной таблетки сухого горючего не менее 9,0 мин»,</w:t>
      </w:r>
    </w:p>
    <w:p>
      <w:pPr>
        <w:pStyle w:val="Style5"/>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по п.27 «Салфетки дезинфицирующие»: «Салфетки пропитаны дезинфицирующим раствором, содержащим 0,5% водный раствор хлоргексидина биглюконата. Площадь развертки одной салфетки не менее 0,024 м2».</w:t>
      </w:r>
    </w:p>
    <w:p>
      <w:pPr>
        <w:pStyle w:val="Style5"/>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5"/>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5"/>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В соответствии с п.2 ч. 1 ст.43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5"/>
        <w:keepNext w:val="0"/>
        <w:keepLines w:val="0"/>
        <w:widowControl w:val="0"/>
        <w:numPr>
          <w:ilvl w:val="0"/>
          <w:numId w:val="3"/>
        </w:numPr>
        <w:shd w:val="clear" w:color="auto" w:fill="auto"/>
        <w:tabs>
          <w:tab w:pos="1162" w:val="left"/>
        </w:tabs>
        <w:bidi w:val="0"/>
        <w:spacing w:before="0" w:after="0" w:line="252" w:lineRule="auto"/>
        <w:ind w:left="0" w:right="0" w:firstLine="700"/>
        <w:jc w:val="both"/>
      </w:pPr>
      <w:r>
        <w:rPr>
          <w:color w:val="000000"/>
          <w:spacing w:val="0"/>
          <w:w w:val="100"/>
          <w:position w:val="0"/>
          <w:shd w:val="clear" w:color="auto" w:fill="auto"/>
          <w:lang w:val="ru-RU" w:eastAsia="ru-RU" w:bidi="ru-RU"/>
        </w:rPr>
        <w:t>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5"/>
        <w:keepNext w:val="0"/>
        <w:keepLines w:val="0"/>
        <w:widowControl w:val="0"/>
        <w:numPr>
          <w:ilvl w:val="0"/>
          <w:numId w:val="3"/>
        </w:numPr>
        <w:shd w:val="clear" w:color="auto" w:fill="auto"/>
        <w:tabs>
          <w:tab w:pos="1162"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5"/>
        <w:keepNext w:val="0"/>
        <w:keepLines w:val="0"/>
        <w:widowControl w:val="0"/>
        <w:numPr>
          <w:ilvl w:val="0"/>
          <w:numId w:val="3"/>
        </w:numPr>
        <w:shd w:val="clear" w:color="auto" w:fill="auto"/>
        <w:tabs>
          <w:tab w:pos="1162"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5"/>
        <w:keepNext w:val="0"/>
        <w:keepLines w:val="0"/>
        <w:widowControl w:val="0"/>
        <w:numPr>
          <w:ilvl w:val="0"/>
          <w:numId w:val="3"/>
        </w:numPr>
        <w:shd w:val="clear" w:color="auto" w:fill="auto"/>
        <w:tabs>
          <w:tab w:pos="1162" w:val="left"/>
        </w:tabs>
        <w:bidi w:val="0"/>
        <w:spacing w:before="0" w:after="0" w:line="252" w:lineRule="auto"/>
        <w:ind w:left="0" w:right="0" w:firstLine="700"/>
        <w:jc w:val="both"/>
      </w:pPr>
      <w:r>
        <w:rPr>
          <w:color w:val="000000"/>
          <w:spacing w:val="0"/>
          <w:w w:val="100"/>
          <w:position w:val="0"/>
          <w:shd w:val="clear" w:color="auto" w:fill="auto"/>
          <w:lang w:val="ru-RU" w:eastAsia="ru-RU" w:bidi="ru-RU"/>
        </w:rPr>
        <w:t>с учетом положений ч. 2 ст. 43 Закона о контрактной системе предложение по критериям, предусмотренным п. 2 и (или) 3 ч. 1 ст. 32 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5"/>
        <w:keepNext w:val="0"/>
        <w:keepLines w:val="0"/>
        <w:widowControl w:val="0"/>
        <w:numPr>
          <w:ilvl w:val="0"/>
          <w:numId w:val="3"/>
        </w:numPr>
        <w:shd w:val="clear" w:color="auto" w:fill="auto"/>
        <w:tabs>
          <w:tab w:pos="1162"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в файле «Требование к содержанию, составу заявки на участие в электронном аукционе, инструкция по её заполнению» Заказчиком установлено, что предложение участника закупки в отношении объекта закупки должно содержать, в том числе: «с учетом положений части 2 статьи 43 Закона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также установлено, что в составе заявки Заявителя представлен файл «Объект закупки», сформированный посредством функционала площадки в соответствии с извещение и содержащий следующую информацию:</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«Рационы питания и пайки», страна происхождения: Российская Федерация, Количество: 635.00000000000 штук, что не противоречит требованиям извещения об осуществлении закупки.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Заявителя отсутствовал, при этом в составе жалобы Заявитель указывает, что при подаче заявки на участие в закупке, заявка подана в структурированном виде, то есть в соответствии с извещением, при этом при подаче заявки Заявитель согласился с требованиями к предмету закупки.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при подаче заявки на участие в закупке у участников есть возможность прикрепить электронный документ, содержащий характеристики предлагаемого к поставке товара, однако в составе заявки Заявителя данный электронный документ представлен не был, ввиду чего заявка с идентификационным номером 158 подлежала отклонению.</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Комиссия Управления не может принять пояснения Заказчика как подтверждение несоответствия заявки Заявителя установленным требованиям ввиду нижеследующего.</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товарам устанавливаются заказчиками именно в извещении с использованием единой информационной системы о чём напрямую говорят п.5 ч.1 ст.42 Закона о контрактной системе и п.7 Правил использования КТРУ</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Комиссией Управления установлено, что в составе сведений, сформированных Заказчиком с использованием единой информационной системы при формировании извещения отсутствуют требования к товарам, так например к товару «Соус томатный»: массовая доля сухих растворимых веществ - не менее 27%; рН - не более 3,9», ввиду чего, отклонение за не предоставление в составе </w:t>
      </w:r>
      <w:r>
        <w:rPr>
          <w:color w:val="000000"/>
          <w:spacing w:val="0"/>
          <w:w w:val="100"/>
          <w:position w:val="0"/>
          <w:shd w:val="clear" w:color="auto" w:fill="auto"/>
          <w:lang w:val="ru-RU" w:eastAsia="ru-RU" w:bidi="ru-RU"/>
        </w:rPr>
        <w:t>заявки таких сведений о товаре, не включенных извещение сформированное посредством функционала ЕИС изначально нельзя признать правомерным.</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5"/>
        <w:keepNext w:val="0"/>
        <w:keepLines w:val="0"/>
        <w:widowControl w:val="0"/>
        <w:numPr>
          <w:ilvl w:val="0"/>
          <w:numId w:val="5"/>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5"/>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5"/>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5"/>
        <w:keepNext w:val="0"/>
        <w:keepLines w:val="0"/>
        <w:widowControl w:val="0"/>
        <w:numPr>
          <w:ilvl w:val="0"/>
          <w:numId w:val="5"/>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5"/>
        <w:keepNext w:val="0"/>
        <w:keepLines w:val="0"/>
        <w:widowControl w:val="0"/>
        <w:numPr>
          <w:ilvl w:val="0"/>
          <w:numId w:val="5"/>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5"/>
        <w:keepNext w:val="0"/>
        <w:keepLines w:val="0"/>
        <w:widowControl w:val="0"/>
        <w:numPr>
          <w:ilvl w:val="0"/>
          <w:numId w:val="5"/>
        </w:numPr>
        <w:shd w:val="clear" w:color="auto" w:fill="auto"/>
        <w:tabs>
          <w:tab w:pos="1080" w:val="left"/>
        </w:tabs>
        <w:bidi w:val="0"/>
        <w:spacing w:before="0" w:after="0" w:line="240" w:lineRule="auto"/>
        <w:ind w:left="0" w:right="0" w:firstLine="720"/>
        <w:jc w:val="both"/>
        <w:sectPr>
          <w:footnotePr>
            <w:pos w:val="pageBottom"/>
            <w:numFmt w:val="decimal"/>
            <w:numRestart w:val="continuous"/>
          </w:footnotePr>
          <w:type w:val="continuous"/>
          <w:pgSz w:w="11900" w:h="16840"/>
          <w:pgMar w:top="1002" w:right="530" w:bottom="982" w:left="1089" w:header="0" w:footer="3" w:gutter="0"/>
          <w:cols w:space="720"/>
          <w:noEndnote/>
          <w:rtlGutter w:val="0"/>
          <w:docGrid w:linePitch="360"/>
        </w:sectPr>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5"/>
        <w:keepNext w:val="0"/>
        <w:keepLines w:val="0"/>
        <w:widowControl w:val="0"/>
        <w:numPr>
          <w:ilvl w:val="0"/>
          <w:numId w:val="5"/>
        </w:numPr>
        <w:shd w:val="clear" w:color="auto" w:fill="auto"/>
        <w:tabs>
          <w:tab w:pos="180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5"/>
        <w:keepNext w:val="0"/>
        <w:keepLines w:val="0"/>
        <w:widowControl w:val="0"/>
        <w:numPr>
          <w:ilvl w:val="0"/>
          <w:numId w:val="5"/>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5"/>
        <w:keepNext w:val="0"/>
        <w:keepLines w:val="0"/>
        <w:widowControl w:val="0"/>
        <w:numPr>
          <w:ilvl w:val="0"/>
          <w:numId w:val="5"/>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решение комиссии Заказчика об отклонении заявки Заявителя по основаниям, указанным в протоколе подведения итогов определения поставщика (подрядчика, исполнителя), является неправомерным и нарушает положения пп. «а» п.1 ч.5 ст.49 Закона о контрактной системе, что содержит признаки состава административного правонарушения, ответственность за которое предусмотрена ч.2 ст.7.30 Кодекса об административных правонарушениях Российской Федерации.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в ходе проведения внеплановой проверки Комиссией Управления установлено следующее.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1 октября 2023 Заказчики формируют структурированное описание объекта закупки с использованием функционала единой информационной системы при формировании извещения (подп. «б» п. 8 постановления Правительства от 31.10.2022 № 1946).</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формируемое с использованием ЕИС, должно соответствовать Правилами использования КТРУ</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пунктом 7 Правил установлено, что при проведении электронных процедур в случае осуществления закупки товара, работы, услуги, в отношении которых в каталоге отсутствуют позиции, характеристики объекта закупки, предусмотренные п. 1 ч. 1 ст. 33 Закона о контрактной системе, указываются с использованием ЕИС при формировании извещения об осуществлении закупки в соответствии с ч.1 ст.42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установлено, что Заказчиком закупаются товары, сведения о характеристиках которых содержатся в файле «Описание объекта закупки на товар».</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исходя из требований Правил, а также учитывая Положение о порядке формирования и размещения информации и документов в единой информационной системе в сфере закупок, о требованиях к их формам, утвержденному постановлением Правительства Российской Федерации от 27 января 2022 г. № 60), Комиссия Управления отмечает, что описание объекта закупки в части характеристик, предусмотренных п. 1 ч. 1 ст. 33 Закона о контрактной системе, указывается в формируемом с использованием ЕИС извещении об осуществлении закупки.</w:t>
      </w:r>
    </w:p>
    <w:p>
      <w:pPr>
        <w:pStyle w:val="Style5"/>
        <w:keepNext w:val="0"/>
        <w:keepLines w:val="0"/>
        <w:widowControl w:val="0"/>
        <w:shd w:val="clear" w:color="auto" w:fill="auto"/>
        <w:bidi w:val="0"/>
        <w:spacing w:before="0" w:after="0" w:line="240" w:lineRule="auto"/>
        <w:ind w:left="0" w:right="0" w:firstLine="720"/>
        <w:jc w:val="both"/>
        <w:rPr>
          <w:sz w:val="22"/>
          <w:szCs w:val="22"/>
        </w:rPr>
        <w:sectPr>
          <w:headerReference w:type="default" r:id="rId9"/>
          <w:footerReference w:type="default" r:id="rId10"/>
          <w:footnotePr>
            <w:pos w:val="pageBottom"/>
            <w:numFmt w:val="decimal"/>
            <w:numRestart w:val="continuous"/>
          </w:footnotePr>
          <w:pgSz w:w="11900" w:h="16840"/>
          <w:pgMar w:top="1162" w:right="536" w:bottom="696" w:left="1106" w:header="0" w:footer="268"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Вместе с тем в ходе заседания Комиссией Управления установлено, что извещение об осуществлении закупки не содержит требуемых характеристик товаров, подлежащих, по мнению Заказчика, указанию участниками закупки при подаче заявки и изложенных Заказчиком в размещенном файле «Описание объекта закупки на товар», содержащим в своем составе, в том числе, описание объекта </w:t>
      </w:r>
      <w:r>
        <w:rPr>
          <w:rFonts w:ascii="Cambria" w:eastAsia="Cambria" w:hAnsi="Cambria" w:cs="Cambria"/>
          <w:color w:val="000000"/>
          <w:spacing w:val="0"/>
          <w:w w:val="100"/>
          <w:position w:val="0"/>
          <w:sz w:val="22"/>
          <w:szCs w:val="22"/>
          <w:shd w:val="clear" w:color="auto" w:fill="auto"/>
          <w:lang w:val="ru-RU" w:eastAsia="ru-RU" w:bidi="ru-RU"/>
        </w:rPr>
        <w:t>2024-44876</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закупки в соответствии со ст.33 Закона о контрактной системе.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Комиссией Управления установлено, что в электроном документе «Описание объекта закупки на товар» Заказчиком установлены требования к характеристикам закупаемого изделия, в частности: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п.17 «Соус томатный»: «По физико-химическим показателям соус томатный соответствует следующим нормам: массовая доля сухих растворимых веществ - не менее 27%; рН - не более 3,9»,</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п.22 «Разогреватель портативный»: «Представляет собой комплект, состоящий из металлического таганка, имеющего ребра жесткости для обеспечения надежной устойчивости разогревателя и подогреваемого продукта, и не менее 3 таблеток цилиндрической формы сухого горючего белого цвета, герметично упакованных в 1 пакет. Применяемое для изготовления разогревателя сухое горючее соответствует требованиям технических условий производителя и имеет вид таблетки белого цвета, масса таблетки не шире диапазона 10,0±0,9 г. Время горения одной таблетки сухого горючего не менее 9,0 мин»,</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п.27 «Салфетки дезинфицирующие»: «Салфетки пропитаны дезинфицирующим раствором, содержащим 0,5% водный раствор хлоргексидина биглюконата. Площадь развертки одной салфетки не менее 0,024 м2».</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этим Комиссия Управления отмечает, что в составе структурированной формы извещения требования к характеристикам не предъявлены, поскольку в отношении таких характеристик отсутствуют графы, позволяющие представить по ним значения.</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Заказчиком не исполнено надлежащим образом требование об указании требований к товарам с использованием единой информационной системы при формировании извещения об осуществлении закупки, поскольку характеристики отсутствуют в разделе «Объект закупки».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данном случае Заказчику во исполнение требований п.5 ч.1 ст.42 Закона о контрактной системе, Правил пользования КТРУ надлежало отразить все характеристики закупаемых товаров в подразделе «Характеристики товара, работы, услуги» раздела извещения «Объект закупки» с указанием в соответствующих графах наименования характеристик, значение характеристик, единицы измерения характеристик, инструкции по заполнению характеристик в заявке, чего Заказчиком сделано не было.</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Исходя из вышеизложенного Комиссия Управления приходит к выводу, что положения извещения сформированы Заказчиком таким образом, что не позволяют участникам закупки представить сведения о поставляемых изделиях надлежащим образом, посредством заполнения сведений, указанных в структурированной формы извещения, размещенной в соответствии ч.1 ст.42 Закона о контрактной системе.</w:t>
      </w:r>
    </w:p>
    <w:p>
      <w:pPr>
        <w:pStyle w:val="Style5"/>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Таким образом, на основании имеющихся документов и сведений, Комиссия Управления приходит к выводу о нарушении Заказчиком положений п.1 ч.1 ст.33, п.5 ч.1 ст.42 Закона о контрактной системе при формировании описания объекта закупки, что также свидетельствует о наличии в действиях Заказчика признаков</w:t>
        <w:br w:type="page"/>
      </w:r>
      <w:r>
        <w:rPr>
          <w:color w:val="000000"/>
          <w:spacing w:val="0"/>
          <w:w w:val="100"/>
          <w:position w:val="0"/>
          <w:shd w:val="clear" w:color="auto" w:fill="auto"/>
          <w:lang w:val="ru-RU" w:eastAsia="ru-RU" w:bidi="ru-RU"/>
        </w:rPr>
        <w:t>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5"/>
        <w:keepNext w:val="0"/>
        <w:keepLines w:val="0"/>
        <w:widowControl w:val="0"/>
        <w:shd w:val="clear" w:color="auto" w:fill="auto"/>
        <w:bidi w:val="0"/>
        <w:spacing w:before="0" w:after="200" w:line="23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5"/>
        <w:keepNext w:val="0"/>
        <w:keepLines w:val="0"/>
        <w:widowControl w:val="0"/>
        <w:numPr>
          <w:ilvl w:val="0"/>
          <w:numId w:val="7"/>
        </w:numPr>
        <w:shd w:val="clear" w:color="auto" w:fill="auto"/>
        <w:tabs>
          <w:tab w:pos="11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ИП Ибиев И.К. на действия комиссии Главного Управления МЧС России пог. Москве обоснованной.</w:t>
      </w:r>
    </w:p>
    <w:p>
      <w:pPr>
        <w:pStyle w:val="Style5"/>
        <w:keepNext w:val="0"/>
        <w:keepLines w:val="0"/>
        <w:widowControl w:val="0"/>
        <w:numPr>
          <w:ilvl w:val="0"/>
          <w:numId w:val="7"/>
        </w:numPr>
        <w:shd w:val="clear" w:color="auto" w:fill="auto"/>
        <w:tabs>
          <w:tab w:pos="11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в действиях комиссии Заказчика нарушение пп. «а» п.1 ч.5 ст.49 Закона о контрактной системе, в действиях Заказчика нарушение п.1 ч.1 ст.33, п.5 ч.1 ст.42 Закона о контрактной системе.</w:t>
      </w:r>
    </w:p>
    <w:p>
      <w:pPr>
        <w:pStyle w:val="Style5"/>
        <w:keepNext w:val="0"/>
        <w:keepLines w:val="0"/>
        <w:widowControl w:val="0"/>
        <w:numPr>
          <w:ilvl w:val="0"/>
          <w:numId w:val="7"/>
        </w:numPr>
        <w:shd w:val="clear" w:color="auto" w:fill="auto"/>
        <w:tabs>
          <w:tab w:pos="11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5"/>
        <w:keepNext w:val="0"/>
        <w:keepLines w:val="0"/>
        <w:widowControl w:val="0"/>
        <w:numPr>
          <w:ilvl w:val="0"/>
          <w:numId w:val="7"/>
        </w:numPr>
        <w:shd w:val="clear" w:color="auto" w:fill="auto"/>
        <w:tabs>
          <w:tab w:pos="1147" w:val="left"/>
        </w:tabs>
        <w:bidi w:val="0"/>
        <w:spacing w:before="0" w:after="200" w:line="240" w:lineRule="auto"/>
        <w:ind w:left="0" w:right="0" w:firstLine="72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widowControl w:val="0"/>
        <w:spacing w:line="1" w:lineRule="exact"/>
        <w:sectPr>
          <w:headerReference w:type="default" r:id="rId11"/>
          <w:footerReference w:type="default" r:id="rId12"/>
          <w:footnotePr>
            <w:pos w:val="pageBottom"/>
            <w:numFmt w:val="decimal"/>
            <w:numRestart w:val="continuous"/>
          </w:footnotePr>
          <w:pgSz w:w="11900" w:h="16840"/>
          <w:pgMar w:top="1162" w:right="531" w:bottom="1244" w:left="1103" w:header="0" w:footer="3" w:gutter="0"/>
          <w:cols w:space="720"/>
          <w:noEndnote/>
          <w:rtlGutter w:val="0"/>
          <w:docGrid w:linePitch="360"/>
        </w:sectPr>
      </w:pPr>
      <w:r>
        <mc:AlternateContent>
          <mc:Choice Requires="wps">
            <w:drawing>
              <wp:anchor distT="127000" distB="194945" distL="0" distR="0" simplePos="0" relativeHeight="125829384" behindDoc="0" locked="0" layoutInCell="1" allowOverlap="1">
                <wp:simplePos x="0" y="0"/>
                <wp:positionH relativeFrom="page">
                  <wp:posOffset>733425</wp:posOffset>
                </wp:positionH>
                <wp:positionV relativeFrom="paragraph">
                  <wp:posOffset>127000</wp:posOffset>
                </wp:positionV>
                <wp:extent cx="1850390" cy="250190"/>
                <wp:wrapTopAndBottom/>
                <wp:docPr id="19" name="Shape 19"/>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7.75pt;margin-top:10.pt;width:145.70000000000002pt;height:19.699999999999999pt;z-index:-125829369;mso-wrap-distance-left:0;mso-wrap-distance-top:10.pt;mso-wrap-distance-right:0;mso-wrap-distance-bottom:15.3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24790" distB="0" distL="0" distR="1816735" simplePos="0" relativeHeight="125829386" behindDoc="0" locked="0" layoutInCell="1" allowOverlap="1">
            <wp:simplePos x="0" y="0"/>
            <wp:positionH relativeFrom="page">
              <wp:posOffset>3138170</wp:posOffset>
            </wp:positionH>
            <wp:positionV relativeFrom="paragraph">
              <wp:posOffset>224790</wp:posOffset>
            </wp:positionV>
            <wp:extent cx="292735" cy="347345"/>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292735"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3522345</wp:posOffset>
                </wp:positionH>
                <wp:positionV relativeFrom="paragraph">
                  <wp:posOffset>288925</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3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35000000000002pt;margin-top:22.75pt;width:135.84999999999999pt;height:20.150000000000002pt;z-index:251657729;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194945" distL="0" distR="0" simplePos="0" relativeHeight="125829387" behindDoc="0" locked="0" layoutInCell="1" allowOverlap="1">
                <wp:simplePos x="0" y="0"/>
                <wp:positionH relativeFrom="page">
                  <wp:posOffset>6082665</wp:posOffset>
                </wp:positionH>
                <wp:positionV relativeFrom="paragraph">
                  <wp:posOffset>127000</wp:posOffset>
                </wp:positionV>
                <wp:extent cx="1136650" cy="250190"/>
                <wp:wrapTopAndBottom/>
                <wp:docPr id="25" name="Shape 25"/>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51" type="#_x0000_t202" style="position:absolute;margin-left:478.94999999999999pt;margin-top:10.pt;width:89.5pt;height:19.699999999999999pt;z-index:-125829366;mso-wrap-distance-left:0;mso-wrap-distance-top:10.pt;mso-wrap-distance-right:0;mso-wrap-distance-bottom:15.3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33"/>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Грешнева Дарья Сергеевна</w:t>
      </w:r>
    </w:p>
    <w:p>
      <w:pPr>
        <w:pStyle w:val="Style35"/>
        <w:keepNext w:val="0"/>
        <w:keepLines w:val="0"/>
        <w:widowControl w:val="0"/>
        <w:shd w:val="clear" w:color="auto" w:fill="auto"/>
        <w:bidi w:val="0"/>
        <w:spacing w:before="0" w:after="0" w:line="240" w:lineRule="auto"/>
        <w:ind w:right="0" w:firstLine="0"/>
        <w:jc w:val="left"/>
      </w:pPr>
      <w:r>
        <w:rPr>
          <w:color w:val="2827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00Е5ЕО2ЕА33995761 </w:t>
      </w:r>
      <w:r>
        <w:rPr>
          <w:color w:val="39353D"/>
          <w:spacing w:val="0"/>
          <w:w w:val="100"/>
          <w:position w:val="0"/>
          <w:shd w:val="clear" w:color="auto" w:fill="auto"/>
          <w:lang w:val="ru-RU" w:eastAsia="ru-RU" w:bidi="ru-RU"/>
        </w:rPr>
        <w:t>О5А45С83ЕВ9ЕЕО0Е</w:t>
      </w:r>
      <w:r>
        <w:rPr>
          <w:color w:val="39353D"/>
          <w:spacing w:val="0"/>
          <w:w w:val="100"/>
          <w:position w:val="0"/>
          <w:shd w:val="clear" w:color="auto" w:fill="auto"/>
          <w:lang w:val="ru-RU" w:eastAsia="ru-RU" w:bidi="ru-RU"/>
        </w:rPr>
        <w:t>Е</w:t>
      </w:r>
    </w:p>
    <w:p>
      <w:pPr>
        <w:pStyle w:val="Style35"/>
        <w:keepNext w:val="0"/>
        <w:keepLines w:val="0"/>
        <w:widowControl w:val="0"/>
        <w:shd w:val="clear" w:color="auto" w:fill="auto"/>
        <w:bidi w:val="0"/>
        <w:spacing w:before="0" w:after="260" w:line="240" w:lineRule="auto"/>
        <w:ind w:right="0" w:firstLine="0"/>
        <w:jc w:val="left"/>
      </w:pPr>
      <w:r>
        <w:rPr>
          <w:spacing w:val="0"/>
          <w:w w:val="100"/>
          <w:position w:val="0"/>
          <w:shd w:val="clear" w:color="auto" w:fill="auto"/>
          <w:lang w:val="ru-RU" w:eastAsia="ru-RU" w:bidi="ru-RU"/>
        </w:rPr>
        <w:t xml:space="preserve">Действителен </w:t>
      </w:r>
      <w:r>
        <w:rPr>
          <w:color w:val="39353D"/>
          <w:spacing w:val="0"/>
          <w:w w:val="100"/>
          <w:position w:val="0"/>
          <w:shd w:val="clear" w:color="auto" w:fill="auto"/>
          <w:lang w:val="ru-RU" w:eastAsia="ru-RU" w:bidi="ru-RU"/>
        </w:rPr>
        <w:t xml:space="preserve">с 07.05.2024 </w:t>
      </w:r>
      <w:r>
        <w:rPr>
          <w:color w:val="7F7F7F"/>
          <w:spacing w:val="0"/>
          <w:w w:val="100"/>
          <w:position w:val="0"/>
          <w:shd w:val="clear" w:color="auto" w:fill="auto"/>
          <w:lang w:val="ru-RU" w:eastAsia="ru-RU" w:bidi="ru-RU"/>
        </w:rPr>
        <w:t>по 31</w:t>
      </w:r>
      <w:r>
        <w:rPr>
          <w:spacing w:val="0"/>
          <w:w w:val="100"/>
          <w:position w:val="0"/>
          <w:shd w:val="clear" w:color="auto" w:fill="auto"/>
          <w:lang w:val="ru-RU" w:eastAsia="ru-RU" w:bidi="ru-RU"/>
        </w:rPr>
        <w:t>.07.2025</w:t>
      </w:r>
    </w:p>
    <w:p>
      <w:pPr>
        <w:pStyle w:val="Style5"/>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5"/>
        <w:keepNext w:val="0"/>
        <w:keepLines w:val="0"/>
        <w:widowControl w:val="0"/>
        <w:shd w:val="clear" w:color="auto" w:fill="auto"/>
        <w:bidi w:val="0"/>
        <w:spacing w:before="0" w:after="390" w:line="240" w:lineRule="auto"/>
        <w:ind w:left="0" w:right="0" w:firstLine="880"/>
        <w:jc w:val="left"/>
      </w:pPr>
      <w:r>
        <w:drawing>
          <wp:anchor distT="0" distB="0" distL="114300" distR="1931035" simplePos="0" relativeHeight="125829389" behindDoc="0" locked="0" layoutInCell="1" allowOverlap="1">
            <wp:simplePos x="0" y="0"/>
            <wp:positionH relativeFrom="page">
              <wp:posOffset>3138805</wp:posOffset>
            </wp:positionH>
            <wp:positionV relativeFrom="paragraph">
              <wp:posOffset>88900</wp:posOffset>
            </wp:positionV>
            <wp:extent cx="292735" cy="347345"/>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5"/>
                    <a:stretch/>
                  </pic:blipFill>
                  <pic:spPr>
                    <a:xfrm>
                      <a:ext cx="292735"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3522980</wp:posOffset>
                </wp:positionH>
                <wp:positionV relativeFrom="paragraph">
                  <wp:posOffset>153035</wp:posOffset>
                </wp:positionV>
                <wp:extent cx="1725295" cy="259080"/>
                <wp:wrapNone/>
                <wp:docPr id="29" name="Shape 29"/>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3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7.40000000000003pt;margin-top:12.050000000000001pt;width:135.84999999999999pt;height:20.400000000000002pt;z-index:251657731;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Е.Д. Мартьянова</w:t>
      </w:r>
    </w:p>
    <w:p>
      <w:pPr>
        <w:pStyle w:val="Style3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color w:val="EAEAEA"/>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Мартьянова Елена Дмитриевна</w:t>
      </w:r>
    </w:p>
    <w:p>
      <w:pPr>
        <w:pStyle w:val="Style35"/>
        <w:keepNext w:val="0"/>
        <w:keepLines w:val="0"/>
        <w:widowControl w:val="0"/>
        <w:shd w:val="clear" w:color="auto" w:fill="auto"/>
        <w:bidi w:val="0"/>
        <w:spacing w:before="0" w:after="0" w:line="240" w:lineRule="auto"/>
        <w:ind w:right="0" w:firstLine="0"/>
        <w:jc w:val="left"/>
      </w:pPr>
      <w:r>
        <w:rPr>
          <w:color w:val="39353D"/>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9353D"/>
          <w:spacing w:val="0"/>
          <w:w w:val="100"/>
          <w:position w:val="0"/>
          <w:shd w:val="clear" w:color="auto" w:fill="auto"/>
          <w:lang w:val="ru-RU" w:eastAsia="ru-RU" w:bidi="ru-RU"/>
        </w:rPr>
        <w:t>0092302А1Е2Е82694604ЕЕЕ7722Э2557ЕЕ</w:t>
      </w:r>
    </w:p>
    <w:p>
      <w:pPr>
        <w:pStyle w:val="Style35"/>
        <w:keepNext w:val="0"/>
        <w:keepLines w:val="0"/>
        <w:widowControl w:val="0"/>
        <w:shd w:val="clear" w:color="auto" w:fill="auto"/>
        <w:bidi w:val="0"/>
        <w:spacing w:before="0" w:after="260" w:line="240" w:lineRule="auto"/>
        <w:ind w:right="0" w:firstLine="0"/>
        <w:jc w:val="left"/>
      </w:pPr>
      <w:r>
        <w:rPr>
          <w:spacing w:val="0"/>
          <w:w w:val="100"/>
          <w:position w:val="0"/>
          <w:shd w:val="clear" w:color="auto" w:fill="auto"/>
          <w:lang w:val="ru-RU" w:eastAsia="ru-RU" w:bidi="ru-RU"/>
        </w:rPr>
        <w:t xml:space="preserve">Действителен </w:t>
      </w:r>
      <w:r>
        <w:rPr>
          <w:color w:val="39353D"/>
          <w:spacing w:val="0"/>
          <w:w w:val="100"/>
          <w:position w:val="0"/>
          <w:shd w:val="clear" w:color="auto" w:fill="auto"/>
          <w:lang w:val="ru-RU" w:eastAsia="ru-RU" w:bidi="ru-RU"/>
        </w:rPr>
        <w:t xml:space="preserve">с 05.12.2023 </w:t>
      </w:r>
      <w:r>
        <w:rPr>
          <w:spacing w:val="0"/>
          <w:w w:val="100"/>
          <w:position w:val="0"/>
          <w:shd w:val="clear" w:color="auto" w:fill="auto"/>
          <w:lang w:val="ru-RU" w:eastAsia="ru-RU" w:bidi="ru-RU"/>
        </w:rPr>
        <w:t>по 27.02.2025</w:t>
      </w:r>
    </w:p>
    <w:p>
      <w:pPr>
        <w:pStyle w:val="Style5"/>
        <w:keepNext w:val="0"/>
        <w:keepLines w:val="0"/>
        <w:widowControl w:val="0"/>
        <w:shd w:val="clear" w:color="auto" w:fill="auto"/>
        <w:bidi w:val="0"/>
        <w:spacing w:before="0" w:after="390" w:line="240" w:lineRule="auto"/>
        <w:ind w:left="1180" w:right="0" w:firstLine="0"/>
        <w:jc w:val="left"/>
      </w:pPr>
      <w:r>
        <w:drawing>
          <wp:anchor distT="0" distB="0" distL="114300" distR="1912620" simplePos="0" relativeHeight="125829390" behindDoc="0" locked="0" layoutInCell="1" allowOverlap="1">
            <wp:simplePos x="0" y="0"/>
            <wp:positionH relativeFrom="page">
              <wp:posOffset>3120390</wp:posOffset>
            </wp:positionH>
            <wp:positionV relativeFrom="paragraph">
              <wp:posOffset>63500</wp:posOffset>
            </wp:positionV>
            <wp:extent cx="328930" cy="384175"/>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7"/>
                    <a:stretch/>
                  </pic:blipFill>
                  <pic:spPr>
                    <a:xfrm>
                      <a:ext cx="328930" cy="3841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3522980</wp:posOffset>
                </wp:positionH>
                <wp:positionV relativeFrom="paragraph">
                  <wp:posOffset>146050</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3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40000000000003pt;margin-top:11.5pt;width:135.84999999999999pt;height:20.150000000000002pt;z-index:251657733;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М.О. Мацнева</w:t>
      </w:r>
    </w:p>
    <w:p>
      <w:pPr>
        <w:pStyle w:val="Style33"/>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Мацнева Мария Олеговна</w:t>
      </w:r>
    </w:p>
    <w:p>
      <w:pPr>
        <w:pStyle w:val="Style35"/>
        <w:keepNext w:val="0"/>
        <w:keepLines w:val="0"/>
        <w:widowControl w:val="0"/>
        <w:shd w:val="clear" w:color="auto" w:fill="auto"/>
        <w:bidi w:val="0"/>
        <w:spacing w:before="0" w:after="0" w:line="240" w:lineRule="auto"/>
        <w:ind w:right="0" w:firstLine="0"/>
        <w:jc w:val="left"/>
      </w:pPr>
      <w:r>
        <w:rPr>
          <w:color w:val="2827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82728"/>
          <w:spacing w:val="0"/>
          <w:w w:val="100"/>
          <w:position w:val="0"/>
          <w:shd w:val="clear" w:color="auto" w:fill="auto"/>
          <w:lang w:val="ru-RU" w:eastAsia="ru-RU" w:bidi="ru-RU"/>
        </w:rPr>
        <w:t>00803Е81</w:t>
      </w:r>
      <w:r>
        <w:rPr>
          <w:color w:val="494C4B"/>
          <w:spacing w:val="0"/>
          <w:w w:val="100"/>
          <w:position w:val="0"/>
          <w:shd w:val="clear" w:color="auto" w:fill="auto"/>
          <w:lang w:val="ru-RU" w:eastAsia="ru-RU" w:bidi="ru-RU"/>
        </w:rPr>
        <w:t>769ОЕ8688ОО1Е612СЗС6В74577</w:t>
      </w:r>
    </w:p>
    <w:p>
      <w:pPr>
        <w:pStyle w:val="Style35"/>
        <w:keepNext w:val="0"/>
        <w:keepLines w:val="0"/>
        <w:widowControl w:val="0"/>
        <w:shd w:val="clear" w:color="auto" w:fill="auto"/>
        <w:bidi w:val="0"/>
        <w:spacing w:before="0" w:after="540" w:line="240" w:lineRule="auto"/>
        <w:ind w:right="0" w:firstLine="0"/>
        <w:jc w:val="left"/>
      </w:pPr>
      <w:r>
        <w:rPr>
          <w:spacing w:val="0"/>
          <w:w w:val="100"/>
          <w:position w:val="0"/>
          <w:shd w:val="clear" w:color="auto" w:fill="auto"/>
          <w:lang w:val="ru-RU" w:eastAsia="ru-RU" w:bidi="ru-RU"/>
        </w:rPr>
        <w:t xml:space="preserve">Действителен </w:t>
      </w:r>
      <w:r>
        <w:rPr>
          <w:color w:val="282728"/>
          <w:spacing w:val="0"/>
          <w:w w:val="100"/>
          <w:position w:val="0"/>
          <w:shd w:val="clear" w:color="auto" w:fill="auto"/>
          <w:lang w:val="ru-RU" w:eastAsia="ru-RU" w:bidi="ru-RU"/>
        </w:rPr>
        <w:t xml:space="preserve">с </w:t>
      </w:r>
      <w:r>
        <w:rPr>
          <w:color w:val="494C4B"/>
          <w:spacing w:val="0"/>
          <w:w w:val="100"/>
          <w:position w:val="0"/>
          <w:shd w:val="clear" w:color="auto" w:fill="auto"/>
          <w:lang w:val="ru-RU" w:eastAsia="ru-RU" w:bidi="ru-RU"/>
        </w:rPr>
        <w:t xml:space="preserve">20.05.2024 </w:t>
      </w:r>
      <w:r>
        <w:rPr>
          <w:spacing w:val="0"/>
          <w:w w:val="100"/>
          <w:position w:val="0"/>
          <w:shd w:val="clear" w:color="auto" w:fill="auto"/>
          <w:lang w:val="ru-RU" w:eastAsia="ru-RU" w:bidi="ru-RU"/>
        </w:rPr>
        <w:t>по 13.08.2025</w:t>
      </w:r>
    </w:p>
    <w:p>
      <w:pPr>
        <w:pStyle w:val="Style43"/>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Исп.Мартьянова Е.Д. тел.(495) 784-75-05</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10109200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2024-44876</w:t>
                          </w:r>
                        </w:p>
                      </w:txbxContent>
                    </wps:txbx>
                    <wps:bodyPr wrap="none" lIns="0" tIns="0" rIns="0" bIns="0">
                      <a:spAutoFit/>
                    </wps:bodyPr>
                  </wps:wsp>
                </a:graphicData>
              </a:graphic>
            </wp:anchor>
          </w:drawing>
        </mc:Choice>
        <mc:Fallback>
          <w:pict>
            <v:shape id="_x0000_s1031" type="#_x0000_t202" style="position:absolute;margin-left:57.050000000000004pt;margin-top:796.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2024-44876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2024-44876</w:t>
                          </w:r>
                        </w:p>
                      </w:txbxContent>
                    </wps:txbx>
                    <wps:bodyPr wrap="none" lIns="0" tIns="0" rIns="0" bIns="0">
                      <a:spAutoFit/>
                    </wps:bodyPr>
                  </wps:wsp>
                </a:graphicData>
              </a:graphic>
            </wp:anchor>
          </w:drawing>
        </mc:Choice>
        <mc:Fallback>
          <w:pict>
            <v:shape id="_x0000_s1033" type="#_x0000_t202" style="position:absolute;margin-left:57.pt;margin-top:804.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2024-44876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724535</wp:posOffset>
              </wp:positionH>
              <wp:positionV relativeFrom="page">
                <wp:posOffset>10109200</wp:posOffset>
              </wp:positionV>
              <wp:extent cx="725170" cy="100330"/>
              <wp:wrapNone/>
              <wp:docPr id="17" name="Shape 1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2024-44876</w:t>
                          </w:r>
                        </w:p>
                      </w:txbxContent>
                    </wps:txbx>
                    <wps:bodyPr wrap="none" lIns="0" tIns="0" rIns="0" bIns="0">
                      <a:spAutoFit/>
                    </wps:bodyPr>
                  </wps:wsp>
                </a:graphicData>
              </a:graphic>
            </wp:anchor>
          </w:drawing>
        </mc:Choice>
        <mc:Fallback>
          <w:pict>
            <v:shape id="_x0000_s1043" type="#_x0000_t202" style="position:absolute;margin-left:57.050000000000004pt;margin-top:796.pt;width:57.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2024-44876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3900805</wp:posOffset>
              </wp:positionH>
              <wp:positionV relativeFrom="page">
                <wp:posOffset>476250</wp:posOffset>
              </wp:positionV>
              <wp:extent cx="128270" cy="103505"/>
              <wp:wrapNone/>
              <wp:docPr id="3" name="Shape 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29" type="#_x0000_t202" style="position:absolute;margin-left:307.15000000000003pt;margin-top:37.5pt;width:10.1pt;height:8.15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3930015</wp:posOffset>
              </wp:positionH>
              <wp:positionV relativeFrom="page">
                <wp:posOffset>476250</wp:posOffset>
              </wp:positionV>
              <wp:extent cx="57785" cy="103505"/>
              <wp:wrapNone/>
              <wp:docPr id="13" name="Shape 13"/>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44999999999999pt;margin-top:37.5pt;width:4.54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3900805</wp:posOffset>
              </wp:positionH>
              <wp:positionV relativeFrom="page">
                <wp:posOffset>476250</wp:posOffset>
              </wp:positionV>
              <wp:extent cx="128270" cy="103505"/>
              <wp:wrapNone/>
              <wp:docPr id="15" name="Shape 15"/>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7.15000000000003pt;margin-top:37.5pt;width:10.1pt;height:8.1500000000000004pt;z-index:-188744055;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21">
    <w:name w:val="Подпись к таблице_"/>
    <w:basedOn w:val="DefaultParagraphFont"/>
    <w:link w:val="Style20"/>
    <w:rPr>
      <w:rFonts w:ascii="Times New Roman" w:eastAsia="Times New Roman" w:hAnsi="Times New Roman" w:cs="Times New Roman"/>
      <w:b w:val="0"/>
      <w:bCs w:val="0"/>
      <w:i w:val="0"/>
      <w:iCs w:val="0"/>
      <w:smallCaps w:val="0"/>
      <w:strike w:val="0"/>
      <w:sz w:val="22"/>
      <w:szCs w:val="22"/>
      <w:u w:val="none"/>
    </w:rPr>
  </w:style>
  <w:style w:type="character" w:customStyle="1" w:styleId="CharStyle23">
    <w:name w:val="Другое_"/>
    <w:basedOn w:val="DefaultParagraphFont"/>
    <w:link w:val="Style22"/>
    <w:rPr>
      <w:rFonts w:ascii="Times New Roman" w:eastAsia="Times New Roman" w:hAnsi="Times New Roman" w:cs="Times New Roman"/>
      <w:b w:val="0"/>
      <w:bCs w:val="0"/>
      <w:i w:val="0"/>
      <w:iCs w:val="0"/>
      <w:smallCaps w:val="0"/>
      <w:strike w:val="0"/>
      <w:sz w:val="28"/>
      <w:szCs w:val="28"/>
      <w:u w:val="none"/>
    </w:rPr>
  </w:style>
  <w:style w:type="character" w:customStyle="1" w:styleId="CharStyle31">
    <w:name w:val="Подпись к картинке_"/>
    <w:basedOn w:val="DefaultParagraphFont"/>
    <w:link w:val="Style30"/>
    <w:rPr>
      <w:rFonts w:ascii="Times New Roman" w:eastAsia="Times New Roman" w:hAnsi="Times New Roman" w:cs="Times New Roman"/>
      <w:b w:val="0"/>
      <w:bCs w:val="0"/>
      <w:i w:val="0"/>
      <w:iCs w:val="0"/>
      <w:smallCaps w:val="0"/>
      <w:strike w:val="0"/>
      <w:color w:val="282728"/>
      <w:sz w:val="12"/>
      <w:szCs w:val="12"/>
      <w:u w:val="none"/>
    </w:rPr>
  </w:style>
  <w:style w:type="character" w:customStyle="1" w:styleId="CharStyle34">
    <w:name w:val="Основной текст (4)_"/>
    <w:basedOn w:val="DefaultParagraphFont"/>
    <w:link w:val="Style33"/>
    <w:rPr>
      <w:rFonts w:ascii="Times New Roman" w:eastAsia="Times New Roman" w:hAnsi="Times New Roman" w:cs="Times New Roman"/>
      <w:b/>
      <w:bCs/>
      <w:i w:val="0"/>
      <w:iCs w:val="0"/>
      <w:smallCaps w:val="0"/>
      <w:strike w:val="0"/>
      <w:color w:val="EBEBEB"/>
      <w:sz w:val="11"/>
      <w:szCs w:val="11"/>
      <w:u w:val="none"/>
    </w:rPr>
  </w:style>
  <w:style w:type="character" w:customStyle="1" w:styleId="CharStyle36">
    <w:name w:val="Основной текст (2)_"/>
    <w:basedOn w:val="DefaultParagraphFont"/>
    <w:link w:val="Style35"/>
    <w:rPr>
      <w:rFonts w:ascii="Arial" w:eastAsia="Arial" w:hAnsi="Arial" w:cs="Arial"/>
      <w:b w:val="0"/>
      <w:bCs w:val="0"/>
      <w:i w:val="0"/>
      <w:iCs w:val="0"/>
      <w:smallCaps w:val="0"/>
      <w:strike w:val="0"/>
      <w:color w:val="686868"/>
      <w:sz w:val="12"/>
      <w:szCs w:val="12"/>
      <w:u w:val="none"/>
    </w:rPr>
  </w:style>
  <w:style w:type="character" w:customStyle="1" w:styleId="CharStyle44">
    <w:name w:val="Основной текст (5)_"/>
    <w:basedOn w:val="DefaultParagraphFont"/>
    <w:link w:val="Style4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Основной текст"/>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Заголовок №1"/>
    <w:basedOn w:val="Normal"/>
    <w:link w:val="CharStyle16"/>
    <w:pPr>
      <w:widowControl w:val="0"/>
      <w:shd w:val="clear" w:color="auto" w:fill="auto"/>
      <w:spacing w:after="540"/>
      <w:ind w:firstLine="360"/>
      <w:outlineLvl w:val="0"/>
    </w:pPr>
    <w:rPr>
      <w:rFonts w:ascii="Arial" w:eastAsia="Arial" w:hAnsi="Arial" w:cs="Arial"/>
      <w:b w:val="0"/>
      <w:bCs w:val="0"/>
      <w:i w:val="0"/>
      <w:iCs w:val="0"/>
      <w:smallCaps w:val="0"/>
      <w:strike w:val="0"/>
      <w:sz w:val="34"/>
      <w:szCs w:val="34"/>
      <w:u w:val="none"/>
    </w:rPr>
  </w:style>
  <w:style w:type="paragraph" w:customStyle="1" w:styleId="Style20">
    <w:name w:val="Подпись к таблице"/>
    <w:basedOn w:val="Normal"/>
    <w:link w:val="CharStyle21"/>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22">
    <w:name w:val="Другое"/>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30">
    <w:name w:val="Подпись к картинке"/>
    <w:basedOn w:val="Normal"/>
    <w:link w:val="CharStyle3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82728"/>
      <w:sz w:val="12"/>
      <w:szCs w:val="12"/>
      <w:u w:val="none"/>
    </w:rPr>
  </w:style>
  <w:style w:type="paragraph" w:customStyle="1" w:styleId="Style33">
    <w:name w:val="Основной текст (4)"/>
    <w:basedOn w:val="Normal"/>
    <w:link w:val="CharStyle34"/>
    <w:pPr>
      <w:widowControl w:val="0"/>
      <w:shd w:val="clear" w:color="auto" w:fill="auto"/>
      <w:spacing w:after="80"/>
      <w:ind w:left="4520"/>
    </w:pPr>
    <w:rPr>
      <w:rFonts w:ascii="Times New Roman" w:eastAsia="Times New Roman" w:hAnsi="Times New Roman" w:cs="Times New Roman"/>
      <w:b/>
      <w:bCs/>
      <w:i w:val="0"/>
      <w:iCs w:val="0"/>
      <w:smallCaps w:val="0"/>
      <w:strike w:val="0"/>
      <w:color w:val="EBEBEB"/>
      <w:sz w:val="11"/>
      <w:szCs w:val="11"/>
      <w:u w:val="none"/>
    </w:rPr>
  </w:style>
  <w:style w:type="paragraph" w:customStyle="1" w:styleId="Style35">
    <w:name w:val="Основной текст (2)"/>
    <w:basedOn w:val="Normal"/>
    <w:link w:val="CharStyle36"/>
    <w:pPr>
      <w:widowControl w:val="0"/>
      <w:shd w:val="clear" w:color="auto" w:fill="auto"/>
      <w:ind w:left="3820"/>
    </w:pPr>
    <w:rPr>
      <w:rFonts w:ascii="Arial" w:eastAsia="Arial" w:hAnsi="Arial" w:cs="Arial"/>
      <w:b w:val="0"/>
      <w:bCs w:val="0"/>
      <w:i w:val="0"/>
      <w:iCs w:val="0"/>
      <w:smallCaps w:val="0"/>
      <w:strike w:val="0"/>
      <w:color w:val="686868"/>
      <w:sz w:val="12"/>
      <w:szCs w:val="12"/>
      <w:u w:val="none"/>
    </w:rPr>
  </w:style>
  <w:style w:type="paragraph" w:customStyle="1" w:styleId="Style43">
    <w:name w:val="Основной текст (5)"/>
    <w:basedOn w:val="Normal"/>
    <w:link w:val="CharStyle44"/>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image" Target="media/image1.jpeg"/><Relationship Id="rId14" Type="http://schemas.openxmlformats.org/officeDocument/2006/relationships/image" Target="media/image1.jpeg" TargetMode="External"/><Relationship Id="rId15" Type="http://schemas.openxmlformats.org/officeDocument/2006/relationships/image" Target="media/image2.jpeg"/><Relationship Id="rId16" Type="http://schemas.openxmlformats.org/officeDocument/2006/relationships/image" Target="media/image2.jpeg" TargetMode="External"/><Relationship Id="rId17" Type="http://schemas.openxmlformats.org/officeDocument/2006/relationships/image" Target="media/image3.jpeg"/><Relationship Id="rId18" Type="http://schemas.openxmlformats.org/officeDocument/2006/relationships/image" Target="media/image3.jpeg" TargetMode="External"/></Relationships>
</file>