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line="254" w:lineRule="auto"/>
        <w:ind w:left="0" w:right="0" w:firstLine="0"/>
        <w:jc w:val="center"/>
      </w:pPr>
      <w:r>
        <w:rPr>
          <w:spacing w:val="0"/>
          <w:w w:val="100"/>
          <w:position w:val="0"/>
          <w:shd w:val="clear" w:color="auto" w:fill="auto"/>
          <w:lang w:val="ru-RU" w:eastAsia="ru-RU" w:bidi="ru-RU"/>
        </w:rPr>
        <w:t>УПРАВЛЕНИЕ</w:t>
      </w:r>
    </w:p>
    <w:p>
      <w:pPr>
        <w:pStyle w:val="Style7"/>
        <w:keepNext w:val="0"/>
        <w:keepLines w:val="0"/>
        <w:widowControl w:val="0"/>
        <w:shd w:val="clear" w:color="auto" w:fill="auto"/>
        <w:bidi w:val="0"/>
        <w:spacing w:before="0" w:line="283"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Калужской области</w:t>
      </w:r>
    </w:p>
    <w:p>
      <w:pPr>
        <w:pStyle w:val="Style7"/>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пл. Старый Торг, 5, г. Калуга, 248000</w:t>
        <w:br/>
        <w:t>тел. (4842) 57-65-92, факс (4828) 57-65-92</w:t>
      </w:r>
    </w:p>
    <w:p>
      <w:pPr>
        <w:pStyle w:val="Style7"/>
        <w:keepNext w:val="0"/>
        <w:keepLines w:val="0"/>
        <w:widowControl w:val="0"/>
        <w:shd w:val="clear" w:color="auto" w:fill="auto"/>
        <w:bidi w:val="0"/>
        <w:spacing w:before="0" w:after="180" w:line="307" w:lineRule="auto"/>
        <w:ind w:left="0" w:right="0" w:firstLine="0"/>
        <w:jc w:val="center"/>
      </w:pPr>
      <w:r>
        <w:rPr>
          <w:spacing w:val="0"/>
          <w:w w:val="100"/>
          <w:position w:val="0"/>
          <w:shd w:val="clear" w:color="auto" w:fill="auto"/>
          <w:lang w:val="ru-RU" w:eastAsia="ru-RU" w:bidi="ru-RU"/>
        </w:rPr>
        <w:t>е-тай: 1о40@Га8.§оу.ги</w:t>
      </w:r>
    </w:p>
    <w:p>
      <w:pPr>
        <w:pStyle w:val="Style12"/>
        <w:keepNext/>
        <w:keepLines/>
        <w:widowControl w:val="0"/>
        <w:shd w:val="clear" w:color="auto" w:fill="auto"/>
        <w:tabs>
          <w:tab w:pos="1843"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МЧ/4426/2</w:t>
      </w:r>
      <w:r>
        <w:rPr>
          <w:color w:val="000000"/>
          <w:spacing w:val="0"/>
          <w:w w:val="100"/>
          <w:position w:val="0"/>
          <w:u w:val="none"/>
          <w:shd w:val="clear" w:color="auto" w:fill="auto"/>
          <w:lang w:val="ru-RU" w:eastAsia="ru-RU" w:bidi="ru-RU"/>
        </w:rPr>
        <w:t>4</w:t>
      </w:r>
      <w:bookmarkEnd w:id="0"/>
    </w:p>
    <w:p>
      <w:pPr>
        <w:pStyle w:val="Style10"/>
        <w:keepNext w:val="0"/>
        <w:keepLines w:val="0"/>
        <w:widowControl w:val="0"/>
        <w:shd w:val="clear" w:color="auto" w:fill="auto"/>
        <w:bidi w:val="0"/>
        <w:spacing w:before="0" w:after="0" w:line="276"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АО «Сбербанк - АСТ» пер. Большой Саввинский, д. 12, стр. 9, г. Москва, 119435</w:t>
      </w:r>
    </w:p>
    <w:p>
      <w:pPr>
        <w:pStyle w:val="Style16"/>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ко@8ЪегЪапк-а81.ги</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ООО «А-Фарм»</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Индустриальное ш., д.112, оф.301, г.Уфа, Республика Башкортостан, 450027</w:t>
      </w:r>
    </w:p>
    <w:p>
      <w:pPr>
        <w:pStyle w:val="Style16"/>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ОООкотрАГагт@дтай .сот</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ГП Калужской области «Калугафармация» ул. Театральная, д.34, г.Калуга, 248600 др_иЪр@Ък.ги;к1дГагта@уапдех.ги;ка1ид</w:t>
      </w:r>
    </w:p>
    <w:p>
      <w:pPr>
        <w:pStyle w:val="Style16"/>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63" w:right="608" w:bottom="1226" w:left="1140" w:header="0" w:footer="3" w:gutter="0"/>
          <w:pgNumType w:start="1"/>
          <w:cols w:num="2" w:space="720" w:equalWidth="0">
            <w:col w:w="4258" w:space="1008"/>
            <w:col w:w="4886"/>
          </w:cols>
          <w:noEndnote/>
          <w:titlePg/>
          <w:rtlGutter w:val="0"/>
          <w:docGrid w:linePitch="360"/>
        </w:sectPr>
      </w:pPr>
      <w:r>
        <w:rPr>
          <w:color w:val="000000"/>
          <w:spacing w:val="0"/>
          <w:w w:val="100"/>
          <w:position w:val="0"/>
          <w:sz w:val="28"/>
          <w:szCs w:val="28"/>
          <w:shd w:val="clear" w:color="auto" w:fill="auto"/>
          <w:lang w:val="ru-RU" w:eastAsia="ru-RU" w:bidi="ru-RU"/>
        </w:rPr>
        <w:t>аГагта_ио@тай.ги</w:t>
      </w:r>
    </w:p>
    <w:p>
      <w:pPr>
        <w:widowControl w:val="0"/>
        <w:spacing w:line="126" w:lineRule="exact"/>
        <w:rPr>
          <w:sz w:val="10"/>
          <w:szCs w:val="10"/>
        </w:rPr>
      </w:pPr>
    </w:p>
    <w:p>
      <w:pPr>
        <w:widowControl w:val="0"/>
        <w:spacing w:line="1" w:lineRule="exact"/>
        <w:sectPr>
          <w:footnotePr>
            <w:pos w:val="pageBottom"/>
            <w:numFmt w:val="decimal"/>
            <w:numRestart w:val="continuous"/>
          </w:footnotePr>
          <w:type w:val="continuous"/>
          <w:pgSz w:w="11900" w:h="16840"/>
          <w:pgMar w:top="118" w:right="0" w:bottom="1171"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5320" w:right="0" w:firstLine="0"/>
        <w:jc w:val="left"/>
        <w:rPr>
          <w:sz w:val="28"/>
          <w:szCs w:val="28"/>
        </w:rPr>
      </w:pPr>
      <w:r>
        <w:rPr>
          <w:color w:val="000000"/>
          <w:spacing w:val="0"/>
          <w:w w:val="100"/>
          <w:position w:val="0"/>
          <w:sz w:val="28"/>
          <w:szCs w:val="28"/>
          <w:shd w:val="clear" w:color="auto" w:fill="auto"/>
          <w:lang w:val="ru-RU" w:eastAsia="ru-RU" w:bidi="ru-RU"/>
        </w:rPr>
        <w:t>Министерство конкурентной политики</w:t>
      </w:r>
    </w:p>
    <w:p>
      <w:pPr>
        <w:pStyle w:val="Style16"/>
        <w:keepNext w:val="0"/>
        <w:keepLines w:val="0"/>
        <w:widowControl w:val="0"/>
        <w:shd w:val="clear" w:color="auto" w:fill="auto"/>
        <w:bidi w:val="0"/>
        <w:spacing w:before="0" w:after="0" w:line="240" w:lineRule="auto"/>
        <w:ind w:left="5320" w:right="0" w:firstLine="0"/>
        <w:jc w:val="left"/>
        <w:rPr>
          <w:sz w:val="28"/>
          <w:szCs w:val="28"/>
        </w:rPr>
      </w:pPr>
      <w:r>
        <w:rPr>
          <w:color w:val="000000"/>
          <w:spacing w:val="0"/>
          <w:w w:val="100"/>
          <w:position w:val="0"/>
          <w:sz w:val="28"/>
          <w:szCs w:val="28"/>
          <w:shd w:val="clear" w:color="auto" w:fill="auto"/>
          <w:lang w:val="ru-RU" w:eastAsia="ru-RU" w:bidi="ru-RU"/>
        </w:rPr>
        <w:t>Калужской области</w:t>
      </w:r>
    </w:p>
    <w:p>
      <w:pPr>
        <w:pStyle w:val="Style16"/>
        <w:keepNext w:val="0"/>
        <w:keepLines w:val="0"/>
        <w:widowControl w:val="0"/>
        <w:shd w:val="clear" w:color="auto" w:fill="auto"/>
        <w:bidi w:val="0"/>
        <w:spacing w:before="0" w:after="0" w:line="240" w:lineRule="auto"/>
        <w:ind w:left="5320" w:right="0" w:firstLine="0"/>
        <w:jc w:val="left"/>
        <w:rPr>
          <w:sz w:val="28"/>
          <w:szCs w:val="28"/>
        </w:rPr>
      </w:pPr>
      <w:r>
        <w:rPr>
          <w:color w:val="000000"/>
          <w:spacing w:val="0"/>
          <w:w w:val="100"/>
          <w:position w:val="0"/>
          <w:sz w:val="28"/>
          <w:szCs w:val="28"/>
          <w:shd w:val="clear" w:color="auto" w:fill="auto"/>
          <w:lang w:val="ru-RU" w:eastAsia="ru-RU" w:bidi="ru-RU"/>
        </w:rPr>
        <w:t>ул. Плеханова, д. 45, г. Калуга, 248001</w:t>
      </w:r>
    </w:p>
    <w:p>
      <w:pPr>
        <w:pStyle w:val="Style16"/>
        <w:keepNext w:val="0"/>
        <w:keepLines w:val="0"/>
        <w:widowControl w:val="0"/>
        <w:shd w:val="clear" w:color="auto" w:fill="auto"/>
        <w:bidi w:val="0"/>
        <w:spacing w:before="0" w:after="1120" w:line="240" w:lineRule="auto"/>
        <w:ind w:left="5320" w:right="0" w:firstLine="0"/>
        <w:jc w:val="left"/>
        <w:rPr>
          <w:sz w:val="28"/>
          <w:szCs w:val="28"/>
        </w:rPr>
      </w:pPr>
      <w:r>
        <w:rPr>
          <w:color w:val="000000"/>
          <w:spacing w:val="0"/>
          <w:w w:val="100"/>
          <w:position w:val="0"/>
          <w:sz w:val="28"/>
          <w:szCs w:val="28"/>
          <w:shd w:val="clear" w:color="auto" w:fill="auto"/>
          <w:lang w:val="ru-RU" w:eastAsia="ru-RU" w:bidi="ru-RU"/>
        </w:rPr>
        <w:t>тт-к-ро1Шк@а4т.ка1ида.ги</w:t>
      </w:r>
    </w:p>
    <w:p>
      <w:pPr>
        <w:pStyle w:val="Style16"/>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Е Н И Е</w:t>
      </w:r>
    </w:p>
    <w:p>
      <w:pPr>
        <w:pStyle w:val="Style16"/>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16"/>
        <w:keepNext w:val="0"/>
        <w:keepLines w:val="0"/>
        <w:widowControl w:val="0"/>
        <w:shd w:val="clear" w:color="auto" w:fill="auto"/>
        <w:tabs>
          <w:tab w:pos="7272" w:val="left"/>
        </w:tabs>
        <w:bidi w:val="0"/>
        <w:spacing w:before="0" w:after="260" w:line="240" w:lineRule="auto"/>
        <w:ind w:left="0" w:right="0" w:firstLine="0"/>
        <w:jc w:val="left"/>
      </w:pPr>
      <w:r>
        <w:rPr>
          <w:color w:val="000000"/>
          <w:spacing w:val="0"/>
          <w:w w:val="100"/>
          <w:position w:val="0"/>
          <w:shd w:val="clear" w:color="auto" w:fill="auto"/>
          <w:lang w:val="ru-RU" w:eastAsia="ru-RU" w:bidi="ru-RU"/>
        </w:rPr>
        <w:t>г. Калуга</w:t>
        <w:tab/>
        <w:t>«30» сентября 2024 года</w:t>
      </w:r>
    </w:p>
    <w:p>
      <w:pPr>
        <w:pStyle w:val="Style16"/>
        <w:keepNext w:val="0"/>
        <w:keepLines w:val="0"/>
        <w:widowControl w:val="0"/>
        <w:shd w:val="clear" w:color="auto" w:fill="auto"/>
        <w:bidi w:val="0"/>
        <w:spacing w:before="0" w:after="0" w:line="240" w:lineRule="auto"/>
        <w:ind w:left="1760" w:right="0" w:firstLine="0"/>
        <w:jc w:val="left"/>
      </w:pPr>
      <w:r>
        <w:rPr>
          <w:color w:val="000000"/>
          <w:spacing w:val="0"/>
          <w:w w:val="100"/>
          <w:position w:val="0"/>
          <w:shd w:val="clear" w:color="auto" w:fill="auto"/>
          <w:lang w:val="ru-RU" w:eastAsia="ru-RU" w:bidi="ru-RU"/>
        </w:rPr>
        <w:t>Резолютивная часть решения оглашена «26» сентября 2024 года.</w:t>
      </w:r>
    </w:p>
    <w:p>
      <w:pPr>
        <w:pStyle w:val="Style16"/>
        <w:keepNext w:val="0"/>
        <w:keepLines w:val="0"/>
        <w:widowControl w:val="0"/>
        <w:shd w:val="clear" w:color="auto" w:fill="auto"/>
        <w:bidi w:val="0"/>
        <w:spacing w:before="0" w:after="260" w:line="240" w:lineRule="auto"/>
        <w:ind w:left="1760" w:right="0" w:firstLine="0"/>
        <w:jc w:val="left"/>
      </w:pPr>
      <w:r>
        <w:rPr>
          <w:color w:val="000000"/>
          <w:spacing w:val="0"/>
          <w:w w:val="100"/>
          <w:position w:val="0"/>
          <w:shd w:val="clear" w:color="auto" w:fill="auto"/>
          <w:lang w:val="ru-RU" w:eastAsia="ru-RU" w:bidi="ru-RU"/>
        </w:rPr>
        <w:t>В полном объеме решение изготовлено «30» сентября 2024 года.</w:t>
      </w:r>
    </w:p>
    <w:p>
      <w:pPr>
        <w:pStyle w:val="Style16"/>
        <w:keepNext w:val="0"/>
        <w:keepLines w:val="0"/>
        <w:widowControl w:val="0"/>
        <w:shd w:val="clear" w:color="auto" w:fill="auto"/>
        <w:bidi w:val="0"/>
        <w:spacing w:before="0" w:after="380" w:line="240" w:lineRule="auto"/>
        <w:ind w:left="0" w:right="0" w:firstLine="520"/>
        <w:jc w:val="left"/>
      </w:pPr>
      <w:r>
        <w:rPr>
          <w:color w:val="000000"/>
          <w:spacing w:val="0"/>
          <w:w w:val="100"/>
          <w:position w:val="0"/>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6"/>
        <w:keepNext w:val="0"/>
        <w:keepLines w:val="0"/>
        <w:widowControl w:val="0"/>
        <w:shd w:val="clear" w:color="auto" w:fill="auto"/>
        <w:bidi w:val="0"/>
        <w:spacing w:before="0" w:after="80" w:line="240" w:lineRule="auto"/>
        <w:ind w:left="2460" w:right="0" w:hanging="1940"/>
        <w:jc w:val="left"/>
      </w:pPr>
      <w:r>
        <w:rPr>
          <w:color w:val="000000"/>
          <w:spacing w:val="0"/>
          <w:w w:val="100"/>
          <w:position w:val="0"/>
          <w:shd w:val="clear" w:color="auto" w:fill="auto"/>
          <w:lang w:val="ru-RU" w:eastAsia="ru-RU" w:bidi="ru-RU"/>
        </w:rPr>
        <w:t>Чуриков М.А. - председатель комиссии, заместитель руководителя-начальник отдела Калужского УФАС России;</w:t>
      </w:r>
    </w:p>
    <w:p>
      <w:pPr>
        <w:pStyle w:val="Style16"/>
        <w:keepNext w:val="0"/>
        <w:keepLines w:val="0"/>
        <w:widowControl w:val="0"/>
        <w:shd w:val="clear" w:color="auto" w:fill="auto"/>
        <w:bidi w:val="0"/>
        <w:spacing w:before="0" w:after="460" w:line="240" w:lineRule="auto"/>
        <w:ind w:left="2460" w:right="0" w:hanging="1940"/>
        <w:jc w:val="left"/>
      </w:pPr>
      <w:r>
        <w:rPr>
          <w:color w:val="000000"/>
          <w:spacing w:val="0"/>
          <w:w w:val="100"/>
          <w:position w:val="0"/>
          <w:shd w:val="clear" w:color="auto" w:fill="auto"/>
          <w:lang w:val="ru-RU" w:eastAsia="ru-RU" w:bidi="ru-RU"/>
        </w:rPr>
        <w:t>Магер А.А. - член комиссии, заместитель руководителя Калужского УФАС России;</w:t>
      </w:r>
    </w:p>
    <w:p>
      <w:pPr>
        <w:pStyle w:val="Style23"/>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1111111II1111111111111II</w:t>
      </w:r>
      <w:bookmarkEnd w:id="2"/>
    </w:p>
    <w:p>
      <w:pPr>
        <w:pStyle w:val="Style16"/>
        <w:keepNext w:val="0"/>
        <w:keepLines w:val="0"/>
        <w:widowControl w:val="0"/>
        <w:shd w:val="clear" w:color="auto" w:fill="auto"/>
        <w:bidi w:val="0"/>
        <w:spacing w:before="0" w:after="260" w:line="240" w:lineRule="auto"/>
        <w:ind w:left="2460" w:right="0" w:hanging="1980"/>
        <w:jc w:val="both"/>
      </w:pPr>
      <w:r>
        <w:rPr>
          <w:color w:val="000000"/>
          <w:spacing w:val="0"/>
          <w:w w:val="100"/>
          <w:position w:val="0"/>
          <w:shd w:val="clear" w:color="auto" w:fill="auto"/>
          <w:lang w:val="ru-RU" w:eastAsia="ru-RU" w:bidi="ru-RU"/>
        </w:rPr>
        <w:t>Васильев А.А. - член комиссии, главный специалист - эксперт Калужского УФАС России;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 посредством видеоконференцсвязи: представителя заказчика - ГП Калужской области «Калугафармация» Самсоненко Ю.Н. (доверенность, паспорт), представителя уполномоченного органа - Министерства конкурентной политики Калужской области Емельянова А.А. (доверенность, паспорт), представителя заявителя - ООО «А-Фарм» Романова Д.И. (доверенность, паспорт),</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рассмотрев посредством видеоконференцсвязи жалобу №040/06/105-734/2024 ООО «А-Фарм» в по существу, </w:t>
      </w:r>
      <w:r>
        <w:rPr>
          <w:b/>
          <w:bCs/>
          <w:color w:val="000000"/>
          <w:spacing w:val="0"/>
          <w:w w:val="100"/>
          <w:position w:val="0"/>
          <w:shd w:val="clear" w:color="auto" w:fill="auto"/>
          <w:lang w:val="ru-RU" w:eastAsia="ru-RU" w:bidi="ru-RU"/>
        </w:rPr>
        <w:t>установила</w:t>
      </w:r>
      <w:r>
        <w:rPr>
          <w:color w:val="000000"/>
          <w:spacing w:val="0"/>
          <w:w w:val="100"/>
          <w:position w:val="0"/>
          <w:shd w:val="clear" w:color="auto" w:fill="auto"/>
          <w:lang w:val="ru-RU" w:eastAsia="ru-RU" w:bidi="ru-RU"/>
        </w:rPr>
        <w:t>:</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20.09.2024г. в адрес Калужского УФАС России поступила жалоба ООО «А-Фарм» на действия комиссии при проведении открытого аукциона в электронной форме (номер извещения на официальном сайте 0137200001224004916), предметом которого является поставка лекарственного препарата для медицинского применения (МНН Меропенем).</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Заявитель полагает, что комиссия уполномоченного органа в нарушение требований Закона о контрактной системе признала заявку №153 победителем аукциона в связи с применением приказа Минфина России от 04.06.2018 № 126н.</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Изучив представленные документы, с учетом доводов сторон, руководствуясь Законом о контрактной системе, проведя внеплановую проверку в соответствии с пунктом 1 части 15 статьи 99 Закона о контрактной системе, Комиссия Калужского УФАС России приходит к следующему.</w:t>
      </w:r>
    </w:p>
    <w:p>
      <w:pPr>
        <w:pStyle w:val="Style16"/>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1</w:t>
      </w:r>
      <w:r>
        <w:rPr>
          <w:color w:val="000000"/>
          <w:spacing w:val="0"/>
          <w:w w:val="100"/>
          <w:position w:val="0"/>
          <w:shd w:val="clear" w:color="auto" w:fill="auto"/>
          <w:lang w:val="ru-RU" w:eastAsia="ru-RU" w:bidi="ru-RU"/>
        </w:rPr>
        <w:t>. 10.09.2024г. в Единой информационной системе в сфере закупок (</w:t>
      </w:r>
      <w:r>
        <w:fldChar w:fldCharType="begin"/>
      </w:r>
      <w:r>
        <w:rPr/>
        <w:instrText> HYPERLINK "http://www.zakupki.gov.ru/" </w:instrText>
      </w:r>
      <w:r>
        <w:fldChar w:fldCharType="separate"/>
      </w:r>
      <w:r>
        <w:rPr>
          <w:color w:val="000080"/>
          <w:spacing w:val="0"/>
          <w:w w:val="100"/>
          <w:position w:val="0"/>
          <w:u w:val="single"/>
          <w:shd w:val="clear" w:color="auto" w:fill="auto"/>
          <w:lang w:val="ru-RU" w:eastAsia="ru-RU" w:bidi="ru-RU"/>
        </w:rPr>
        <w:t>\у\у\у./акирк1.доу.1'и</w:t>
      </w:r>
      <w:r>
        <w:fldChar w:fldCharType="end"/>
      </w:r>
      <w:r>
        <w:rPr>
          <w:color w:val="000000"/>
          <w:spacing w:val="0"/>
          <w:w w:val="100"/>
          <w:position w:val="0"/>
          <w:shd w:val="clear" w:color="auto" w:fill="auto"/>
          <w:lang w:val="ru-RU" w:eastAsia="ru-RU" w:bidi="ru-RU"/>
        </w:rPr>
        <w:t>; далее также официальный сайт) опубликовано извещение №0137200001224004916), предметом которого предметом которого является поставка лекарственного препарата для медицинского применения (МНН Меропенем) (далее - Аукцион).</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Начальная (максимальная) цена контракта, согласно извещению о проведении аукциона, составляла 19 365 500,00 рублей.</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Заказчиком по указанному аукциону выступало </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ГП Калужской области «Калугафармация».</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протоколом подачи ценовых предложений от 18.09.2024 №ЦПА1, на участие в аукционе поступило 7 заявок.</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19.09.2024 №ИЭА1, победителем аукциона признана заявка № 153 с предложенной ценой контракта 11 619 300,00 рублей.</w:t>
      </w:r>
    </w:p>
    <w:p>
      <w:pPr>
        <w:pStyle w:val="Style16"/>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Частью 1 статьи 43 Закона о контрактной системе установлено, что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16"/>
        <w:keepNext w:val="0"/>
        <w:keepLines w:val="0"/>
        <w:widowControl w:val="0"/>
        <w:numPr>
          <w:ilvl w:val="0"/>
          <w:numId w:val="1"/>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информацию и документы об участнике закупки:</w:t>
      </w:r>
    </w:p>
    <w:p>
      <w:pPr>
        <w:pStyle w:val="Style16"/>
        <w:keepNext w:val="0"/>
        <w:keepLines w:val="0"/>
        <w:widowControl w:val="0"/>
        <w:numPr>
          <w:ilvl w:val="0"/>
          <w:numId w:val="3"/>
        </w:numPr>
        <w:shd w:val="clear" w:color="auto" w:fill="auto"/>
        <w:tabs>
          <w:tab w:pos="93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16"/>
        <w:keepNext w:val="0"/>
        <w:keepLines w:val="0"/>
        <w:widowControl w:val="0"/>
        <w:numPr>
          <w:ilvl w:val="0"/>
          <w:numId w:val="3"/>
        </w:numPr>
        <w:shd w:val="clear" w:color="auto" w:fill="auto"/>
        <w:tabs>
          <w:tab w:pos="9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фамилия, имя, отчество (при наличии), идентификационный номер </w:t>
      </w:r>
      <w:r>
        <w:rPr>
          <w:color w:val="000000"/>
          <w:spacing w:val="0"/>
          <w:w w:val="100"/>
          <w:position w:val="0"/>
          <w:shd w:val="clear" w:color="auto" w:fill="auto"/>
          <w:lang w:val="ru-RU" w:eastAsia="ru-RU" w:bidi="ru-RU"/>
        </w:rPr>
        <w:t>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pPr>
        <w:pStyle w:val="Style16"/>
        <w:keepNext w:val="0"/>
        <w:keepLines w:val="0"/>
        <w:widowControl w:val="0"/>
        <w:numPr>
          <w:ilvl w:val="0"/>
          <w:numId w:val="3"/>
        </w:numPr>
        <w:shd w:val="clear" w:color="auto" w:fill="auto"/>
        <w:tabs>
          <w:tab w:pos="90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идентификационный номер налогоплательщика (при наличии) лиц, указанных в пунктах 2 и 3 части 3 статьи 104 настоящего Федерального закона,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6"/>
        <w:keepNext w:val="0"/>
        <w:keepLines w:val="0"/>
        <w:widowControl w:val="0"/>
        <w:numPr>
          <w:ilvl w:val="0"/>
          <w:numId w:val="3"/>
        </w:numPr>
        <w:shd w:val="clear" w:color="auto" w:fill="auto"/>
        <w:tabs>
          <w:tab w:pos="9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16"/>
        <w:keepNext w:val="0"/>
        <w:keepLines w:val="0"/>
        <w:widowControl w:val="0"/>
        <w:numPr>
          <w:ilvl w:val="0"/>
          <w:numId w:val="3"/>
        </w:numPr>
        <w:shd w:val="clear" w:color="auto" w:fill="auto"/>
        <w:tabs>
          <w:tab w:pos="9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pPr>
        <w:pStyle w:val="Style16"/>
        <w:keepNext w:val="0"/>
        <w:keepLines w:val="0"/>
        <w:widowControl w:val="0"/>
        <w:numPr>
          <w:ilvl w:val="0"/>
          <w:numId w:val="3"/>
        </w:numPr>
        <w:shd w:val="clear" w:color="auto" w:fill="auto"/>
        <w:tabs>
          <w:tab w:pos="9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16"/>
        <w:keepNext w:val="0"/>
        <w:keepLines w:val="0"/>
        <w:widowControl w:val="0"/>
        <w:numPr>
          <w:ilvl w:val="0"/>
          <w:numId w:val="3"/>
        </w:numPr>
        <w:shd w:val="clear" w:color="auto" w:fill="auto"/>
        <w:tabs>
          <w:tab w:pos="96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16"/>
        <w:keepNext w:val="0"/>
        <w:keepLines w:val="0"/>
        <w:widowControl w:val="0"/>
        <w:numPr>
          <w:ilvl w:val="0"/>
          <w:numId w:val="3"/>
        </w:numPr>
        <w:shd w:val="clear" w:color="auto" w:fill="auto"/>
        <w:tabs>
          <w:tab w:pos="9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Style16"/>
        <w:keepNext w:val="0"/>
        <w:keepLines w:val="0"/>
        <w:widowControl w:val="0"/>
        <w:numPr>
          <w:ilvl w:val="0"/>
          <w:numId w:val="3"/>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w:t>
      </w:r>
      <w:r>
        <w:rPr>
          <w:color w:val="000000"/>
          <w:spacing w:val="0"/>
          <w:w w:val="100"/>
          <w:position w:val="0"/>
          <w:shd w:val="clear" w:color="auto" w:fill="auto"/>
          <w:lang w:val="ru-RU" w:eastAsia="ru-RU" w:bidi="ru-RU"/>
        </w:rPr>
        <w:t>предприятием уголовно-исполнительной системы);</w:t>
      </w:r>
    </w:p>
    <w:p>
      <w:pPr>
        <w:pStyle w:val="Style16"/>
        <w:keepNext w:val="0"/>
        <w:keepLines w:val="0"/>
        <w:widowControl w:val="0"/>
        <w:numPr>
          <w:ilvl w:val="0"/>
          <w:numId w:val="3"/>
        </w:numPr>
        <w:shd w:val="clear" w:color="auto" w:fill="auto"/>
        <w:tabs>
          <w:tab w:pos="90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w:t>
      </w:r>
    </w:p>
    <w:p>
      <w:pPr>
        <w:pStyle w:val="Style16"/>
        <w:keepNext w:val="0"/>
        <w:keepLines w:val="0"/>
        <w:widowControl w:val="0"/>
        <w:numPr>
          <w:ilvl w:val="0"/>
          <w:numId w:val="3"/>
        </w:numPr>
        <w:shd w:val="clear" w:color="auto" w:fill="auto"/>
        <w:tabs>
          <w:tab w:pos="9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настоящего Федерального закона;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pPr>
        <w:pStyle w:val="Style16"/>
        <w:keepNext w:val="0"/>
        <w:keepLines w:val="0"/>
        <w:widowControl w:val="0"/>
        <w:numPr>
          <w:ilvl w:val="0"/>
          <w:numId w:val="3"/>
        </w:numPr>
        <w:shd w:val="clear" w:color="auto" w:fill="auto"/>
        <w:tabs>
          <w:tab w:pos="90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декларация о соответствии участника закупки требованиям, установленным пунктами 3 - 5, 7 - 11 части 1 статьи 31 настоящего Федерального закона;</w:t>
      </w:r>
    </w:p>
    <w:p>
      <w:pPr>
        <w:pStyle w:val="Style16"/>
        <w:keepNext w:val="0"/>
        <w:keepLines w:val="0"/>
        <w:widowControl w:val="0"/>
        <w:numPr>
          <w:ilvl w:val="0"/>
          <w:numId w:val="3"/>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pPr>
        <w:pStyle w:val="Style16"/>
        <w:keepNext w:val="0"/>
        <w:keepLines w:val="0"/>
        <w:widowControl w:val="0"/>
        <w:numPr>
          <w:ilvl w:val="0"/>
          <w:numId w:val="3"/>
        </w:numPr>
        <w:shd w:val="clear" w:color="auto" w:fill="auto"/>
        <w:tabs>
          <w:tab w:pos="9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pPr>
        <w:pStyle w:val="Style16"/>
        <w:keepNext w:val="0"/>
        <w:keepLines w:val="0"/>
        <w:widowControl w:val="0"/>
        <w:numPr>
          <w:ilvl w:val="0"/>
          <w:numId w:val="1"/>
        </w:numPr>
        <w:shd w:val="clear" w:color="auto" w:fill="auto"/>
        <w:tabs>
          <w:tab w:pos="94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предложение участника закупки в отношении объекта закупки:</w:t>
      </w:r>
    </w:p>
    <w:p>
      <w:pPr>
        <w:pStyle w:val="Style16"/>
        <w:keepNext w:val="0"/>
        <w:keepLines w:val="0"/>
        <w:widowControl w:val="0"/>
        <w:numPr>
          <w:ilvl w:val="0"/>
          <w:numId w:val="5"/>
        </w:numPr>
        <w:shd w:val="clear" w:color="auto" w:fill="auto"/>
        <w:tabs>
          <w:tab w:pos="90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6"/>
        <w:keepNext w:val="0"/>
        <w:keepLines w:val="0"/>
        <w:widowControl w:val="0"/>
        <w:numPr>
          <w:ilvl w:val="0"/>
          <w:numId w:val="5"/>
        </w:numPr>
        <w:shd w:val="clear" w:color="auto" w:fill="auto"/>
        <w:tabs>
          <w:tab w:pos="9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pPr>
        <w:pStyle w:val="Style16"/>
        <w:keepNext w:val="0"/>
        <w:keepLines w:val="0"/>
        <w:widowControl w:val="0"/>
        <w:numPr>
          <w:ilvl w:val="0"/>
          <w:numId w:val="5"/>
        </w:numPr>
        <w:shd w:val="clear" w:color="auto" w:fill="auto"/>
        <w:tabs>
          <w:tab w:pos="90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w:t>
      </w:r>
      <w:r>
        <w:rPr>
          <w:color w:val="000000"/>
          <w:spacing w:val="0"/>
          <w:w w:val="100"/>
          <w:position w:val="0"/>
          <w:shd w:val="clear" w:color="auto" w:fill="auto"/>
          <w:lang w:val="ru-RU" w:eastAsia="ru-RU" w:bidi="ru-RU"/>
        </w:rPr>
        <w:t>Российской Федерации они передаются вместе с товаром;</w:t>
      </w:r>
    </w:p>
    <w:p>
      <w:pPr>
        <w:pStyle w:val="Style16"/>
        <w:keepNext w:val="0"/>
        <w:keepLines w:val="0"/>
        <w:widowControl w:val="0"/>
        <w:numPr>
          <w:ilvl w:val="0"/>
          <w:numId w:val="5"/>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6"/>
        <w:keepNext w:val="0"/>
        <w:keepLines w:val="0"/>
        <w:widowControl w:val="0"/>
        <w:numPr>
          <w:ilvl w:val="0"/>
          <w:numId w:val="5"/>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6"/>
        <w:keepNext w:val="0"/>
        <w:keepLines w:val="0"/>
        <w:widowControl w:val="0"/>
        <w:numPr>
          <w:ilvl w:val="0"/>
          <w:numId w:val="1"/>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предложение участника закупки о цене контракта (за исключением случая, предусмотренного пунктом 4 настоящей части);</w:t>
      </w:r>
    </w:p>
    <w:p>
      <w:pPr>
        <w:pStyle w:val="Style16"/>
        <w:keepNext w:val="0"/>
        <w:keepLines w:val="0"/>
        <w:widowControl w:val="0"/>
        <w:numPr>
          <w:ilvl w:val="0"/>
          <w:numId w:val="1"/>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предложение участника закупки о сумме цен единиц товара, работы, услуги (в случае, предусмотренном частью 24 статьи 22 настоящего Федерального закона);</w:t>
      </w:r>
    </w:p>
    <w:p>
      <w:pPr>
        <w:pStyle w:val="Style16"/>
        <w:keepNext w:val="0"/>
        <w:keepLines w:val="0"/>
        <w:widowControl w:val="0"/>
        <w:numPr>
          <w:ilvl w:val="0"/>
          <w:numId w:val="1"/>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частью 2 статьи 43 Закона о контрактной системе, при формировании предложения участника закупки в отношении объекта закупки: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1)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2) информация, предусмотренная подпунктами "а" и "г" пункта 2 части 1 настоящей статьи, не включается в заявку на участие в закупке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части 3 статьи 43 Закона о контрактной системе, 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Частью 5 статьи 48 Закона о контрактной системе установлено, что при рассмотрении первых частей заявок на участие в закупке соответствующая заявка подлежит отклонению в случаях:</w:t>
      </w:r>
    </w:p>
    <w:p>
      <w:pPr>
        <w:pStyle w:val="Style16"/>
        <w:keepNext w:val="0"/>
        <w:keepLines w:val="0"/>
        <w:widowControl w:val="0"/>
        <w:numPr>
          <w:ilvl w:val="0"/>
          <w:numId w:val="7"/>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2 части 1 статьи 43 настоящего Федерального закона, несоответствия таких информации и документов извещению об осуществлении закупки;</w:t>
      </w:r>
    </w:p>
    <w:p>
      <w:pPr>
        <w:pStyle w:val="Style16"/>
        <w:keepNext w:val="0"/>
        <w:keepLines w:val="0"/>
        <w:widowControl w:val="0"/>
        <w:numPr>
          <w:ilvl w:val="0"/>
          <w:numId w:val="7"/>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если в первой части заявки на участие в закупке содержится информация, </w:t>
      </w:r>
      <w:r>
        <w:rPr>
          <w:color w:val="000000"/>
          <w:spacing w:val="0"/>
          <w:w w:val="100"/>
          <w:position w:val="0"/>
          <w:shd w:val="clear" w:color="auto" w:fill="auto"/>
          <w:lang w:val="ru-RU" w:eastAsia="ru-RU" w:bidi="ru-RU"/>
        </w:rPr>
        <w:t>предусмотренная пунктами 1, 3 и 4 части 1 статьи 43 настоящего Федерального закона;</w:t>
      </w:r>
    </w:p>
    <w:p>
      <w:pPr>
        <w:pStyle w:val="Style16"/>
        <w:keepNext w:val="0"/>
        <w:keepLines w:val="0"/>
        <w:widowControl w:val="0"/>
        <w:numPr>
          <w:ilvl w:val="0"/>
          <w:numId w:val="7"/>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выявления недостоверной информации, содержащейся в первой части заявки на участие в закупке.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Частью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16"/>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6"/>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6"/>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6"/>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6"/>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6"/>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6"/>
        <w:keepNext w:val="0"/>
        <w:keepLines w:val="0"/>
        <w:widowControl w:val="0"/>
        <w:numPr>
          <w:ilvl w:val="0"/>
          <w:numId w:val="9"/>
        </w:numPr>
        <w:shd w:val="clear" w:color="auto" w:fill="auto"/>
        <w:tabs>
          <w:tab w:pos="16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6"/>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6"/>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статьи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в том числе: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информацию, предусмотренную частью 6 статьи 30, пунктами 1, 2, 5 - 8, 10, 17, 18 и 20 части 1 статьи 42 настоящего Федерального закона;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информацию, предусмотренную подпунктами "а", "б", "г", "е" и "п" пункта 1, подпунктами "а" и "б" пункта 2 части 1 статьи 43 настоящего Федерального закона, а также информацию, предусмотренную подпунктом "г" пункта 2 указанной части, в случае проведения электронного конкурса. При этом информация, предусмотренная подпунктами "а", "б", "г" и "е" пункта 1 части 1 статьи 43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pPr>
        <w:pStyle w:val="Style16"/>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ru-RU" w:eastAsia="ru-RU" w:bidi="ru-RU"/>
        </w:rPr>
        <w:t>Согласно доводам жалобы заявителя, заявка №153 неправомерно признана комиссией уполномоченного органа победителем аукциона в связи с применением приказа Минфина России от 04.06.2018 № 126н.</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ходе рассмотрения жалобы по существу, Комиссия Калужского УФАС России установила следующее.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части 3 статьи 14 Закона о контрактной системе Правительство Российской Федерации наделено полномочиями по установлению запрета и ограничений на допуск товаров, происходящих из иностранных государств.</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частью 4 статьи 14 Закона о контрактной системе федеральный орган исполнительной власти по регулированию контрактной системы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извещении о проведении обжалуемой закупки были установлены ограничения и условия допуска иностранных лекарственных препаратов в соответствии постановлением Правительства РФ от 30.11.2015 № 1289 «Об ограничениях и условиях допуска происходящих из иностранных государств лекарственных препаратов, включённых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 а также условия допуска в соответствии с приказом № 126н.</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Пунктом 1 Постановления № 1289 установлено, что для целей осуществления закупок лекарственного препарата, включённого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6"/>
        <w:keepNext w:val="0"/>
        <w:keepLines w:val="0"/>
        <w:widowControl w:val="0"/>
        <w:numPr>
          <w:ilvl w:val="0"/>
          <w:numId w:val="11"/>
        </w:numPr>
        <w:shd w:val="clear" w:color="auto" w:fill="auto"/>
        <w:tabs>
          <w:tab w:pos="960"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6"/>
        <w:keepNext w:val="0"/>
        <w:keepLines w:val="0"/>
        <w:widowControl w:val="0"/>
        <w:numPr>
          <w:ilvl w:val="0"/>
          <w:numId w:val="11"/>
        </w:numPr>
        <w:shd w:val="clear" w:color="auto" w:fill="auto"/>
        <w:tabs>
          <w:tab w:pos="905"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статьёй 9 Федерального закона «О защите конкуренции», при сопоставлении этих заявок (окончательных предложений).</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Пунктом 1.1 Постановления № 1289 установлено, что в случае если после отклонения заявок (окончательных предложений) в порядке, установленном пунктом 1 Постановления №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w:t>
        <w:softHyphen/>
        <w:t>правовому регулированию в сфере осуществления закупок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Пунктом 1.2 Постановления № 1289 установлено, что подтверждением соответствия лекарственного препарата и фармацевтической субстанции требованиям, указанным в пункте 1.1 Постановления № 1289, является декларирование участником закупки в заявке (окончательном предложении):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(А)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утверждённых Решением Совета Евразийской экономической комиссии от 03.11.2016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утверждённых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 «сертификат ОМР» (см. Сведения из базы данных о сертификатах ОМР по состоянию на 23.09.2024);</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(Б)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 - «документ стадии производства (СП)» (см. Информация о выдаче документов СП по состоянию на 23.09.2024).</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пункту 1.4. Приказа № 126н в случае отклонения заявок в соответствии с пунктом 1 Постановления № 1289 контракт заключается с участником закупки по предложенной им цене контракта при совокупности следующих условий:</w:t>
      </w:r>
    </w:p>
    <w:p>
      <w:pPr>
        <w:pStyle w:val="Style16"/>
        <w:keepNext w:val="0"/>
        <w:keepLines w:val="0"/>
        <w:widowControl w:val="0"/>
        <w:numPr>
          <w:ilvl w:val="0"/>
          <w:numId w:val="13"/>
        </w:numPr>
        <w:shd w:val="clear" w:color="auto" w:fill="auto"/>
        <w:tabs>
          <w:tab w:pos="905"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6"/>
        <w:keepNext w:val="0"/>
        <w:keepLines w:val="0"/>
        <w:widowControl w:val="0"/>
        <w:numPr>
          <w:ilvl w:val="0"/>
          <w:numId w:val="13"/>
        </w:numPr>
        <w:shd w:val="clear" w:color="auto" w:fill="auto"/>
        <w:tabs>
          <w:tab w:pos="850"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заявка такого участника закупки соответствует требованиям извещения об </w:t>
      </w:r>
      <w:r>
        <w:rPr>
          <w:color w:val="000000"/>
          <w:spacing w:val="0"/>
          <w:w w:val="100"/>
          <w:position w:val="0"/>
          <w:shd w:val="clear" w:color="auto" w:fill="auto"/>
          <w:lang w:val="ru-RU" w:eastAsia="ru-RU" w:bidi="ru-RU"/>
        </w:rPr>
        <w:t>осуществлении закупки, документации о закупке;</w:t>
      </w:r>
    </w:p>
    <w:p>
      <w:pPr>
        <w:pStyle w:val="Style16"/>
        <w:keepNext w:val="0"/>
        <w:keepLines w:val="0"/>
        <w:widowControl w:val="0"/>
        <w:numPr>
          <w:ilvl w:val="0"/>
          <w:numId w:val="13"/>
        </w:numPr>
        <w:shd w:val="clear" w:color="auto" w:fill="auto"/>
        <w:tabs>
          <w:tab w:pos="91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«б» пункта 1.4. Приказа № 126н;</w:t>
      </w:r>
    </w:p>
    <w:p>
      <w:pPr>
        <w:pStyle w:val="Style16"/>
        <w:keepNext w:val="0"/>
        <w:keepLines w:val="0"/>
        <w:widowControl w:val="0"/>
        <w:numPr>
          <w:ilvl w:val="0"/>
          <w:numId w:val="13"/>
        </w:numPr>
        <w:shd w:val="clear" w:color="auto" w:fill="auto"/>
        <w:tabs>
          <w:tab w:pos="90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пункта 1.4. Приказа № 126н.</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Положения подпункта «г» не применяются при отсутствии участника закупки, заявка которого соответствует указанным условиям.</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 согласно извещению заказчику требуется лекарственный препарат меропенем.</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протоколу подведения итогов от 19.09.2024 № ИЭА1 победителем был объявлен участник, подавший заявку № 153 - ООО «АПТЕКА «ВЕРБЕНА-ФАРМА».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письменным пояснениям представителя уполномоченного органа, заявка 153 была признана победителем, поскольку только ООО «АПТЕКА «ВЕРБЕНА-ФАРМА» выполнило требования подпункта «а» пункта 1.4 Приказа № 126н, а именно: заявка содержала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 в своей заявке (153) участник приложил Декларацию стадий производства лекарственного препарата Меропронем, с указанием реквизитов:</w:t>
      </w:r>
    </w:p>
    <w:p>
      <w:pPr>
        <w:pStyle w:val="Style16"/>
        <w:keepNext w:val="0"/>
        <w:keepLines w:val="0"/>
        <w:widowControl w:val="0"/>
        <w:numPr>
          <w:ilvl w:val="0"/>
          <w:numId w:val="15"/>
        </w:numPr>
        <w:shd w:val="clear" w:color="auto" w:fill="auto"/>
        <w:tabs>
          <w:tab w:pos="81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документа, подтверждающего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 ОМР/ЕАЕШКи/00764-2023 от 16.02.2023 (п. 1.2 Постановления № 1289);</w:t>
      </w:r>
    </w:p>
    <w:p>
      <w:pPr>
        <w:pStyle w:val="Style16"/>
        <w:keepNext w:val="0"/>
        <w:keepLines w:val="0"/>
        <w:widowControl w:val="0"/>
        <w:numPr>
          <w:ilvl w:val="0"/>
          <w:numId w:val="15"/>
        </w:numPr>
        <w:shd w:val="clear" w:color="auto" w:fill="auto"/>
        <w:tabs>
          <w:tab w:pos="81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документа, содержащего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 СП-0002431/10/2023 от 19.10.2023 (п. 1.2 Постановления № 1289 и подп. «а», п. 1.4 Приказа № 126н).</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Информация о представленных документах размещена в соответствии с правилами пункта 1.2 Постановления № 1289 на официальном сайте Минпромторга России.</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Таким образом, исходя из совокупности информации и документов, предоставленных в заявках 117, 215, 225 и 153, по мнению уполномоченного органа, только заявка 153 полностью удовлетворяет всей совокупности условий пункта 1.4 Приказ № 126н, поскольку она является единственной, и, соответственно, с наименьшей ценой, среди заявок одновременно отвечающих требованиям подпунктов «а» и «б» пункта 1.4 Приказа № 126н.</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Вместе с тем, в ходе рассмотрения жалобы по существу и проведения внеплановой проверки, с учетом представленных в материалы дела документов, Комиссия Калужского УФАС России установила следующее.</w:t>
      </w:r>
    </w:p>
    <w:p>
      <w:pPr>
        <w:pStyle w:val="Style16"/>
        <w:keepNext w:val="0"/>
        <w:keepLines w:val="0"/>
        <w:widowControl w:val="0"/>
        <w:shd w:val="clear" w:color="auto" w:fill="auto"/>
        <w:tabs>
          <w:tab w:leader="hyphen" w:pos="8290"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Из содержания СП-0002431/10/2023 от 19.10.2023 следует, что методом получения фармацевтической субстанции является биотехнологический синтез, при этом, в разделе 2.А.1 «Производство фармацевтической субстанции» указан знак «</w:t>
        <w:tab/>
        <w:t>» (прочерк).</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документу СП-0002431/10/2023 от 19.10.2023 производство предлагаемого к поставке препарата локализовано со стадии фасовки в первичной упаковке (п. 2.Б.3).</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Порядок предоставления государственной услуги по выдаче документа СП установлен приказом Минпромторга России от 31.12.2015 № 4368 «Об утверждении Административного регламента Министерства промышленности и торговли Российской Федерации по предоставлению государственной услуги по выдаче документа, содержащего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(далее - Административный регламент).</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Выдача документа СП носит заявительный характер и осуществляется на основании представленных заявителем в Минпромторг России заявления и прилагаемых к нему документов, исчерпывающий перечень которых утвержден Административным регламентом. Заявителями на получение государственной услуги являются юридические лица, осуществляющие деятельность по производству лекарственных средств для медицинского применения на территории Союза, или организация-заявитель, действующая от лица производителя.</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Документ СП оформляется в соответствии с формой, приведенной в приложении № 6 к Административному регламенту, и содержит сведения об осуществлении стадий технологического процесса производства лекарственного средства на территории Союза, представленные заявителем в заявлении и подтвержденные прилагаемым к заявлению комплектом документов.</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Таким образом, документ СП подтверждает возможность осуществления стадий технологического процесса конкретным производителем производства лекарственного средства на территории Союза в соответствии с указанной в нем информацией о стадиях. Стадии производства лекарственного средства, осуществляемые на территории Союза, указываются в документе СП с учетом приложения № 2 к Административному регламенту (далее - Приложение № 2) и предоставленного заявителем комплекта документов.</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Приложением № 2 для фармацевтических субстанций, получаемых методом биотехнологического синтеза, предусмотрен, в том числе такой технологический процесс, как получение молекулы фармацевтической субстанции, включающей в свою очередь следующие стадии технологического процесса: создание банка клеток, ферментация, культивирование, биотрансформация и другие необходимые стадии для получения активной части фармацевтической субстанции (в соответствии с промышленным регламентом производителя).</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случае, если в пункте 1.1 документа СП предусмотрена фармацевтическая субстанция, метод получения которой "биотехнологический синтез (производство фармацевтической субстанции с использованием биологических процессов)", то подтверждением всех стадий производства такой фармацевтической субстанции, осуществляемых на территории Союза, является указание в подпункте 2.А.1 "Стадии производства до получения молекулы" документа СП стадий технологического процесса, начиная со стадии "культивирование".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В письме Министерства промышленности и торговли Российской Федерации от 21.02.2022 исх. № ОВ-13429/19 указано, что поскольку выдача документа СП носит заявительный характер и прочерк в подпункте 2.А.1 "Стадии производства до получения молекулы" документа СП в случае производства фармацевтической субстанции методом химического синтеза или методом биотехнологического синтеза (производство фармацевтической субстанции с использованием биологических процессов) означает, что заявитель не указал в заявлении на выдачу документа СП стадию производства </w:t>
      </w:r>
      <w:r>
        <w:rPr>
          <w:color w:val="000000"/>
          <w:spacing w:val="0"/>
          <w:w w:val="100"/>
          <w:position w:val="0"/>
          <w:shd w:val="clear" w:color="auto" w:fill="auto"/>
          <w:lang w:val="ru-RU" w:eastAsia="ru-RU" w:bidi="ru-RU"/>
        </w:rPr>
        <w:t>фармацевтической субстанции до получения молекулы либо не подтвердил прилагаемыми к заявлению документами, что стадии, необходимые для получения молекулы фармацевтической субстанции, осуществляются на территории Союза. В этом случае документ СП не подтверждает, что все стадии производства лекарственного препарата, в том числе синтез молекулы действующего вещества при производстве фармацевтической субстанции, осуществлены на территории Союза.</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По мнению Министерства промышленности и торговли Российской Федерации (письмо от 21.02.2022 исх. № ОВ-13429/19), если определенным методом получения фармацевтической субстанции предусмотрено обязательное наличие конкретных стадий технологического процесса производства, то при отсутствии сведений об этих стадиях в документе СП участник закупки не имеет правовых оснований декларировать сведения о таком документе в составе заявки на участие в закупке.</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Если после отклонения заявок, предлагающих иностранные лекарственные препараты, в соответствии с механизмом, установленным пунктом 1 Постановления №1289, имеется хотя бы одна заявка, которая содержит предложение о поставке всех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а также в составе заявки имеются сведения о двух документах, поименованных в пункте 1(2) Постановления № 1289, в отношении таких лекарственных препаратов применяются условия допуска, утвержденные подпунктом 1.4 пункта 1 Приказа № 126н.</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этом, пп. 1.4 Приказа № 126н установлены особые условия заключения контракта на поставку лекарственных препаратов, включенных в перечень жизненно необходимых и важнейших лекарственных препаратов.</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Поскольку в данном случае продекларированный документ СП0002431/10/2023 от 19.10.2023 не подтверждает факт того, что все стадии производства предлагаемого к поставке лекарственного препарата Меропенем, регистрационное удостоверение ЛП- №(000766)-(РГ-Ки) осуществляются на территории Российской Федерации, то документы, предусмотренные п. 1.2 Постановления № 1289, пп. 1.4 Минфина России от 04.06.2018 № 126н, в составе заявки с идентификационным номером 153 не представлены.</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Доказательств обратного в материалы дела не представлено.</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таких обстоятельствах, Комиссия приходит к выводу о том, что оснований для применения пп. 1.4 Приказа № 126н к заявке №153 не имелось.</w:t>
      </w:r>
    </w:p>
    <w:p>
      <w:pPr>
        <w:pStyle w:val="Style1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вышеизложенного, комиссия Калужского УФАС России полагает необходимым выдать комиссии уполномоченного органа Предписания об отмене протокола подведения итогов определения поставщика (подрядчика, исполнителя) от 19.09.2024 №ИЭА1 и повторном рассмотрении заявок участников аукциона.</w:t>
      </w:r>
    </w:p>
    <w:p>
      <w:pPr>
        <w:pStyle w:val="Style16"/>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Закона о контрактной системе, Комиссия Калужского УФАС России </w:t>
      </w:r>
      <w:r>
        <w:rPr>
          <w:b/>
          <w:bCs/>
          <w:color w:val="000000"/>
          <w:spacing w:val="0"/>
          <w:w w:val="100"/>
          <w:position w:val="0"/>
          <w:shd w:val="clear" w:color="auto" w:fill="auto"/>
          <w:lang w:val="ru-RU" w:eastAsia="ru-RU" w:bidi="ru-RU"/>
        </w:rPr>
        <w:t>решила:</w:t>
      </w:r>
    </w:p>
    <w:p>
      <w:pPr>
        <w:pStyle w:val="Style16"/>
        <w:keepNext w:val="0"/>
        <w:keepLines w:val="0"/>
        <w:widowControl w:val="0"/>
        <w:numPr>
          <w:ilvl w:val="0"/>
          <w:numId w:val="17"/>
        </w:numPr>
        <w:shd w:val="clear" w:color="auto" w:fill="auto"/>
        <w:tabs>
          <w:tab w:pos="142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Признать жалобу ООО «А-Фарм» </w:t>
      </w:r>
      <w:r>
        <w:rPr>
          <w:b/>
          <w:bCs/>
          <w:color w:val="000000"/>
          <w:spacing w:val="0"/>
          <w:w w:val="100"/>
          <w:position w:val="0"/>
          <w:shd w:val="clear" w:color="auto" w:fill="auto"/>
          <w:lang w:val="ru-RU" w:eastAsia="ru-RU" w:bidi="ru-RU"/>
        </w:rPr>
        <w:t>обоснованной</w:t>
      </w:r>
      <w:r>
        <w:rPr>
          <w:color w:val="000000"/>
          <w:spacing w:val="0"/>
          <w:w w:val="100"/>
          <w:position w:val="0"/>
          <w:shd w:val="clear" w:color="auto" w:fill="auto"/>
          <w:lang w:val="ru-RU" w:eastAsia="ru-RU" w:bidi="ru-RU"/>
        </w:rPr>
        <w:t>.</w:t>
      </w:r>
    </w:p>
    <w:p>
      <w:pPr>
        <w:pStyle w:val="Style16"/>
        <w:keepNext w:val="0"/>
        <w:keepLines w:val="0"/>
        <w:widowControl w:val="0"/>
        <w:numPr>
          <w:ilvl w:val="0"/>
          <w:numId w:val="17"/>
        </w:numPr>
        <w:shd w:val="clear" w:color="auto" w:fill="auto"/>
        <w:tabs>
          <w:tab w:pos="889"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Комиссии уполномоченного органа - Министерства конкурентной политики Калужской области отменить протокол подведения итогов определения поставщика (подрядчика, исполнителя) от 19.09.2024 №ИЭА1 и повторно рассмотреть заявки на участие в Аукционе с учетом настоящего Решения.</w:t>
      </w:r>
      <w:r>
        <w:br w:type="page"/>
      </w:r>
    </w:p>
    <w:p>
      <w:pPr>
        <w:pStyle w:val="Style16"/>
        <w:keepNext w:val="0"/>
        <w:keepLines w:val="0"/>
        <w:widowControl w:val="0"/>
        <w:numPr>
          <w:ilvl w:val="0"/>
          <w:numId w:val="17"/>
        </w:numPr>
        <w:shd w:val="clear" w:color="auto" w:fill="auto"/>
        <w:tabs>
          <w:tab w:pos="934" w:val="left"/>
        </w:tabs>
        <w:bidi w:val="0"/>
        <w:spacing w:before="0" w:after="260" w:line="240" w:lineRule="auto"/>
        <w:ind w:left="0" w:right="0" w:firstLine="580"/>
        <w:jc w:val="both"/>
      </w:pPr>
      <w:r>
        <w:rPr>
          <w:color w:val="000000"/>
          <w:spacing w:val="0"/>
          <w:w w:val="100"/>
          <w:position w:val="0"/>
          <w:shd w:val="clear" w:color="auto" w:fill="auto"/>
          <w:lang w:val="ru-RU" w:eastAsia="ru-RU" w:bidi="ru-RU"/>
        </w:rPr>
        <w:t>Оператору электронной площадки - АО «Сбербанк - АСТ» обеспечить возможность комиссии уполномоченного органа совершить вышеуказанные действия.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18" w:right="538" w:bottom="1171" w:left="1094" w:header="0" w:footer="3" w:gutter="0"/>
          <w:cols w:space="720"/>
          <w:noEndnote/>
          <w:rtlGutter w:val="0"/>
          <w:docGrid w:linePitch="360"/>
        </w:sectPr>
      </w:pPr>
      <w:r>
        <mc:AlternateContent>
          <mc:Choice Requires="wps">
            <w:drawing>
              <wp:anchor distT="304800" distB="228600" distL="0" distR="0" simplePos="0" relativeHeight="125829378" behindDoc="0" locked="0" layoutInCell="1" allowOverlap="1">
                <wp:simplePos x="0" y="0"/>
                <wp:positionH relativeFrom="page">
                  <wp:posOffset>732790</wp:posOffset>
                </wp:positionH>
                <wp:positionV relativeFrom="paragraph">
                  <wp:posOffset>304800</wp:posOffset>
                </wp:positionV>
                <wp:extent cx="1828800" cy="247015"/>
                <wp:wrapTopAndBottom/>
                <wp:docPr id="5" name="Shape 5"/>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700000000000003pt;margin-top:24.pt;width:144.pt;height:19.449999999999999pt;z-index:-125829375;mso-wrap-distance-left:0;mso-wrap-distance-top:24.pt;mso-wrap-distance-right:0;mso-wrap-distance-bottom:18.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396240" distB="21590" distL="0" distR="1804670" simplePos="0" relativeHeight="125829380" behindDoc="0" locked="0" layoutInCell="1" allowOverlap="1">
            <wp:simplePos x="0" y="0"/>
            <wp:positionH relativeFrom="page">
              <wp:posOffset>2677160</wp:posOffset>
            </wp:positionH>
            <wp:positionV relativeFrom="paragraph">
              <wp:posOffset>396240</wp:posOffset>
            </wp:positionV>
            <wp:extent cx="311150" cy="36576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3070225</wp:posOffset>
                </wp:positionH>
                <wp:positionV relativeFrom="paragraph">
                  <wp:posOffset>466090</wp:posOffset>
                </wp:positionV>
                <wp:extent cx="1722120" cy="259080"/>
                <wp:wrapNone/>
                <wp:docPr id="9" name="Shape 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1.75pt;margin-top:36.700000000000003pt;width:135.59999999999999pt;height:20.40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54990" distB="0" distL="0" distR="0" simplePos="0" relativeHeight="125829381" behindDoc="0" locked="0" layoutInCell="1" allowOverlap="1">
                <wp:simplePos x="0" y="0"/>
                <wp:positionH relativeFrom="page">
                  <wp:posOffset>6094095</wp:posOffset>
                </wp:positionH>
                <wp:positionV relativeFrom="paragraph">
                  <wp:posOffset>554990</wp:posOffset>
                </wp:positionV>
                <wp:extent cx="1088390" cy="225425"/>
                <wp:wrapTopAndBottom/>
                <wp:docPr id="11" name="Shape 11"/>
                <a:graphic xmlns:a="http://schemas.openxmlformats.org/drawingml/2006/main">
                  <a:graphicData uri="http://schemas.microsoft.com/office/word/2010/wordprocessingShape">
                    <wps:wsp>
                      <wps:cNvSpPr txBox="1"/>
                      <wps:spPr>
                        <a:xfrm>
                          <a:ext cx="1088390" cy="22542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М.А. Чуриков</w:t>
                            </w:r>
                          </w:p>
                        </w:txbxContent>
                      </wps:txbx>
                      <wps:bodyPr wrap="none" lIns="0" tIns="0" rIns="0" bIns="0">
                        <a:noAutoFit/>
                      </wps:bodyPr>
                    </wps:wsp>
                  </a:graphicData>
                </a:graphic>
              </wp:anchor>
            </w:drawing>
          </mc:Choice>
          <mc:Fallback>
            <w:pict>
              <v:shape id="_x0000_s1037" type="#_x0000_t202" style="position:absolute;margin-left:479.85000000000002pt;margin-top:43.700000000000003pt;width:85.700000000000003pt;height:17.75pt;z-index:-125829372;mso-wrap-distance-left:0;mso-wrap-distance-top:43.700000000000003pt;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М.А. Чуриков</w:t>
                      </w:r>
                    </w:p>
                  </w:txbxContent>
                </v:textbox>
                <w10:wrap type="topAndBottom" anchorx="page"/>
              </v:shape>
            </w:pict>
          </mc:Fallback>
        </mc:AlternateConten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76" w:lineRule="auto"/>
        <w:ind w:right="0" w:firstLine="0"/>
        <w:jc w:val="left"/>
      </w:pPr>
      <w:r>
        <w:rPr>
          <w:color w:val="000000"/>
          <w:spacing w:val="0"/>
          <w:w w:val="100"/>
          <w:position w:val="0"/>
          <w:shd w:val="clear" w:color="auto" w:fill="auto"/>
          <w:lang w:val="ru-RU" w:eastAsia="ru-RU" w:bidi="ru-RU"/>
        </w:rPr>
        <w:t xml:space="preserve">Кому </w:t>
      </w:r>
      <w:r>
        <w:rPr>
          <w:color w:val="727272"/>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Чуриков Максим Александрович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45Ю5330В1545АА0Е9В9036319396428</w:t>
      </w:r>
    </w:p>
    <w:p>
      <w:pPr>
        <w:pStyle w:val="Style29"/>
        <w:keepNext w:val="0"/>
        <w:keepLines w:val="0"/>
        <w:widowControl w:val="0"/>
        <w:shd w:val="clear" w:color="auto" w:fill="auto"/>
        <w:bidi w:val="0"/>
        <w:spacing w:before="0" w:after="260" w:line="276" w:lineRule="auto"/>
        <w:ind w:right="0" w:firstLine="0"/>
        <w:jc w:val="left"/>
      </w:pPr>
      <w:r>
        <w:rPr>
          <w:color w:val="727272"/>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727272"/>
          <w:spacing w:val="0"/>
          <w:w w:val="100"/>
          <w:position w:val="0"/>
          <w:shd w:val="clear" w:color="auto" w:fill="auto"/>
          <w:lang w:val="ru-RU" w:eastAsia="ru-RU" w:bidi="ru-RU"/>
        </w:rPr>
        <w:t>23.01.2024 по 17.04.2025</w:t>
      </w:r>
    </w:p>
    <w:p>
      <w:pPr>
        <w:pStyle w:val="Style16"/>
        <w:keepNext w:val="0"/>
        <w:keepLines w:val="0"/>
        <w:widowControl w:val="0"/>
        <w:shd w:val="clear" w:color="auto" w:fill="auto"/>
        <w:bidi w:val="0"/>
        <w:spacing w:before="0" w:after="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pStyle w:val="Style16"/>
        <w:keepNext w:val="0"/>
        <w:keepLines w:val="0"/>
        <w:widowControl w:val="0"/>
        <w:shd w:val="clear" w:color="auto" w:fill="auto"/>
        <w:bidi w:val="0"/>
        <w:spacing w:before="0" w:after="620" w:line="240" w:lineRule="auto"/>
        <w:ind w:left="0" w:right="0" w:firstLine="0"/>
        <w:jc w:val="right"/>
        <w:rPr>
          <w:sz w:val="28"/>
          <w:szCs w:val="28"/>
        </w:rPr>
      </w:pPr>
      <w:r>
        <w:drawing>
          <wp:anchor distT="0" distB="0" distL="114300" distR="1900555" simplePos="0" relativeHeight="125829383" behindDoc="0" locked="0" layoutInCell="1" allowOverlap="1">
            <wp:simplePos x="0" y="0"/>
            <wp:positionH relativeFrom="page">
              <wp:posOffset>2656205</wp:posOffset>
            </wp:positionH>
            <wp:positionV relativeFrom="paragraph">
              <wp:posOffset>63500</wp:posOffset>
            </wp:positionV>
            <wp:extent cx="353695" cy="536575"/>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3113405</wp:posOffset>
                </wp:positionH>
                <wp:positionV relativeFrom="paragraph">
                  <wp:posOffset>466090</wp:posOffset>
                </wp:positionV>
                <wp:extent cx="1283335" cy="103505"/>
                <wp:wrapNone/>
                <wp:docPr id="15" name="Shape 1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15000000000001pt;margin-top:36.700000000000003pt;width:101.05pt;height:8.1500000000000004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3070860</wp:posOffset>
                </wp:positionH>
                <wp:positionV relativeFrom="paragraph">
                  <wp:posOffset>154940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1.80000000000001pt;margin-top:12.200000000000001pt;width:135.59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А.А. Магер</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Магер Александр Александрович</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0825671</w:t>
      </w:r>
      <w:r>
        <w:rPr>
          <w:color w:val="212121"/>
          <w:spacing w:val="0"/>
          <w:w w:val="100"/>
          <w:position w:val="0"/>
          <w:shd w:val="clear" w:color="auto" w:fill="auto"/>
          <w:lang w:val="ru-RU" w:eastAsia="ru-RU" w:bidi="ru-RU"/>
        </w:rPr>
        <w:t xml:space="preserve">94Е0Е475О761 </w:t>
      </w:r>
      <w:r>
        <w:rPr>
          <w:spacing w:val="0"/>
          <w:w w:val="100"/>
          <w:position w:val="0"/>
          <w:shd w:val="clear" w:color="auto" w:fill="auto"/>
          <w:lang w:val="ru-RU" w:eastAsia="ru-RU" w:bidi="ru-RU"/>
        </w:rPr>
        <w:t>Е5СЕАСВ63В7ЕЗ</w:t>
      </w:r>
    </w:p>
    <w:p>
      <w:pPr>
        <w:pStyle w:val="Style29"/>
        <w:keepNext w:val="0"/>
        <w:keepLines w:val="0"/>
        <w:widowControl w:val="0"/>
        <w:shd w:val="clear" w:color="auto" w:fill="auto"/>
        <w:bidi w:val="0"/>
        <w:spacing w:before="0" w:after="260" w:line="240" w:lineRule="auto"/>
        <w:ind w:right="0" w:firstLine="0"/>
        <w:jc w:val="left"/>
      </w:pPr>
      <w:r>
        <w:rPr>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12.02.2024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07.05.2025</w:t>
      </w:r>
    </w:p>
    <w:p>
      <w:pPr>
        <w:pStyle w:val="Style16"/>
        <w:keepNext w:val="0"/>
        <w:keepLines w:val="0"/>
        <w:widowControl w:val="0"/>
        <w:shd w:val="clear" w:color="auto" w:fill="auto"/>
        <w:bidi w:val="0"/>
        <w:spacing w:before="0" w:after="620" w:line="240" w:lineRule="auto"/>
        <w:ind w:left="0" w:right="0" w:firstLine="0"/>
        <w:jc w:val="right"/>
        <w:rPr>
          <w:sz w:val="28"/>
          <w:szCs w:val="28"/>
        </w:rPr>
      </w:pPr>
      <w:r>
        <w:drawing>
          <wp:anchor distT="0" distB="0" distL="114300" distR="1900555" simplePos="0" relativeHeight="125829384" behindDoc="0" locked="0" layoutInCell="1" allowOverlap="1">
            <wp:simplePos x="0" y="0"/>
            <wp:positionH relativeFrom="page">
              <wp:posOffset>2656205</wp:posOffset>
            </wp:positionH>
            <wp:positionV relativeFrom="paragraph">
              <wp:posOffset>63500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3113405</wp:posOffset>
                </wp:positionH>
                <wp:positionV relativeFrom="paragraph">
                  <wp:posOffset>462915</wp:posOffset>
                </wp:positionV>
                <wp:extent cx="1280160" cy="103505"/>
                <wp:wrapNone/>
                <wp:docPr id="21" name="Shape 2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15000000000001pt;margin-top:36.450000000000003pt;width:100.8pt;height:8.1500000000000004pt;z-index:251657735;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3070860</wp:posOffset>
                </wp:positionH>
                <wp:positionV relativeFrom="paragraph">
                  <wp:posOffset>151765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1.80000000000001pt;margin-top:11.950000000000001pt;width:135.59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А.А. Васильев</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Васильев Александр Анатольевич</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29530Е4В8АОЕ17659А892Е6Е0Е719141</w:t>
      </w:r>
    </w:p>
    <w:p>
      <w:pPr>
        <w:pStyle w:val="Style29"/>
        <w:keepNext w:val="0"/>
        <w:keepLines w:val="0"/>
        <w:widowControl w:val="0"/>
        <w:shd w:val="clear" w:color="auto" w:fill="auto"/>
        <w:bidi w:val="0"/>
        <w:spacing w:before="0" w:after="80" w:line="240" w:lineRule="auto"/>
        <w:ind w:right="0" w:firstLine="0"/>
        <w:jc w:val="left"/>
      </w:pPr>
      <w:r>
        <w:rPr>
          <w:color w:val="727272"/>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17.04.2024 </w:t>
      </w:r>
      <w:r>
        <w:rPr>
          <w:color w:val="727272"/>
          <w:spacing w:val="0"/>
          <w:w w:val="100"/>
          <w:position w:val="0"/>
          <w:shd w:val="clear" w:color="auto" w:fill="auto"/>
          <w:lang w:val="ru-RU" w:eastAsia="ru-RU" w:bidi="ru-RU"/>
        </w:rPr>
        <w:t>по 11.07.2025</w:t>
      </w:r>
    </w:p>
    <w:sectPr>
      <w:footnotePr>
        <w:pos w:val="pageBottom"/>
        <w:numFmt w:val="decimal"/>
        <w:numRestart w:val="continuous"/>
      </w:footnotePr>
      <w:type w:val="continuous"/>
      <w:pgSz w:w="11900" w:h="16840"/>
      <w:pgMar w:top="1110" w:right="546" w:bottom="1110"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10013315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2024-4806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788.45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2024-4806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2024-4806</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2024-4806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76099"/>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099"/>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76099"/>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42"/>
      <w:szCs w:val="42"/>
      <w:u w:val="none"/>
    </w:rPr>
  </w:style>
  <w:style w:type="character" w:customStyle="1" w:styleId="CharStyle28">
    <w:name w:val="Основной текст (4)_"/>
    <w:basedOn w:val="DefaultParagraphFont"/>
    <w:link w:val="Style27"/>
    <w:rPr>
      <w:rFonts w:ascii="Georgia" w:eastAsia="Georgia" w:hAnsi="Georgia" w:cs="Georgia"/>
      <w:b w:val="0"/>
      <w:bCs w:val="0"/>
      <w:i w:val="0"/>
      <w:iCs w:val="0"/>
      <w:smallCaps w:val="0"/>
      <w:strike w:val="0"/>
      <w:color w:val="E7E7E7"/>
      <w:sz w:val="12"/>
      <w:szCs w:val="12"/>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494949"/>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76099"/>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140" w:line="298" w:lineRule="auto"/>
      <w:jc w:val="center"/>
    </w:pPr>
    <w:rPr>
      <w:rFonts w:ascii="Times New Roman" w:eastAsia="Times New Roman" w:hAnsi="Times New Roman" w:cs="Times New Roman"/>
      <w:b w:val="0"/>
      <w:bCs w:val="0"/>
      <w:i w:val="0"/>
      <w:iCs w:val="0"/>
      <w:smallCaps w:val="0"/>
      <w:strike w:val="0"/>
      <w:color w:val="476099"/>
      <w:sz w:val="16"/>
      <w:szCs w:val="16"/>
      <w:u w:val="none"/>
    </w:rPr>
  </w:style>
  <w:style w:type="paragraph" w:customStyle="1" w:styleId="Style10">
    <w:name w:val="Основной текст (5)"/>
    <w:basedOn w:val="Normal"/>
    <w:link w:val="CharStyle11"/>
    <w:pPr>
      <w:widowControl w:val="0"/>
      <w:shd w:val="clear" w:color="auto" w:fill="auto"/>
      <w:spacing w:line="264" w:lineRule="auto"/>
      <w:jc w:val="center"/>
    </w:pPr>
    <w:rPr>
      <w:rFonts w:ascii="Times New Roman" w:eastAsia="Times New Roman" w:hAnsi="Times New Roman" w:cs="Times New Roman"/>
      <w:b/>
      <w:bCs/>
      <w:i w:val="0"/>
      <w:iCs w:val="0"/>
      <w:smallCaps w:val="0"/>
      <w:strike w:val="0"/>
      <w:color w:val="476099"/>
      <w:sz w:val="19"/>
      <w:szCs w:val="19"/>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3">
    <w:name w:val="Заголовок №1"/>
    <w:basedOn w:val="Normal"/>
    <w:link w:val="CharStyle24"/>
    <w:pPr>
      <w:widowControl w:val="0"/>
      <w:shd w:val="clear" w:color="auto" w:fill="auto"/>
      <w:spacing w:after="260"/>
      <w:outlineLvl w:val="0"/>
    </w:pPr>
    <w:rPr>
      <w:rFonts w:ascii="Arial" w:eastAsia="Arial" w:hAnsi="Arial" w:cs="Arial"/>
      <w:b w:val="0"/>
      <w:bCs w:val="0"/>
      <w:i w:val="0"/>
      <w:iCs w:val="0"/>
      <w:smallCaps w:val="0"/>
      <w:strike w:val="0"/>
      <w:sz w:val="42"/>
      <w:szCs w:val="42"/>
      <w:u w:val="none"/>
    </w:rPr>
  </w:style>
  <w:style w:type="paragraph" w:customStyle="1" w:styleId="Style27">
    <w:name w:val="Основной текст (4)"/>
    <w:basedOn w:val="Normal"/>
    <w:link w:val="CharStyle28"/>
    <w:pPr>
      <w:widowControl w:val="0"/>
      <w:shd w:val="clear" w:color="auto" w:fill="auto"/>
      <w:spacing w:after="80"/>
      <w:jc w:val="center"/>
    </w:pPr>
    <w:rPr>
      <w:rFonts w:ascii="Georgia" w:eastAsia="Georgia" w:hAnsi="Georgia" w:cs="Georgia"/>
      <w:b w:val="0"/>
      <w:bCs w:val="0"/>
      <w:i w:val="0"/>
      <w:iCs w:val="0"/>
      <w:smallCaps w:val="0"/>
      <w:strike w:val="0"/>
      <w:color w:val="E7E7E7"/>
      <w:sz w:val="12"/>
      <w:szCs w:val="12"/>
      <w:u w:val="none"/>
    </w:rPr>
  </w:style>
  <w:style w:type="paragraph" w:customStyle="1" w:styleId="Style29">
    <w:name w:val="Основной текст (2)"/>
    <w:basedOn w:val="Normal"/>
    <w:link w:val="CharStyle30"/>
    <w:pPr>
      <w:widowControl w:val="0"/>
      <w:shd w:val="clear" w:color="auto" w:fill="auto"/>
      <w:ind w:left="3100"/>
    </w:pPr>
    <w:rPr>
      <w:rFonts w:ascii="Arial" w:eastAsia="Arial" w:hAnsi="Arial" w:cs="Arial"/>
      <w:b w:val="0"/>
      <w:bCs w:val="0"/>
      <w:i w:val="0"/>
      <w:iCs w:val="0"/>
      <w:smallCaps w:val="0"/>
      <w:strike w:val="0"/>
      <w:color w:val="494949"/>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