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mallCap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е-таП: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1о39@&amp;8.§оу.ги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НИ/4994/2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Непубличное акционерное общество "НИТРИЛЕНД"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"mailto:info@nitrilend.ru"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тГо@т1п1еп4.ш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Калининградской области "Городская больница № 2"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"mailto:nggb2@yandex.ru"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пддЬ2@уап4ех.ги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;48@дЬи2дЬ-2.ги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13" w:bottom="1236" w:left="1140" w:header="0" w:footer="3" w:gutter="0"/>
          <w:pgNumType w:start="1"/>
          <w:cols w:num="2" w:space="720" w:equalWidth="0">
            <w:col w:w="4224" w:space="1037"/>
            <w:col w:w="4886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ко@,8ЬегЬапк-а81:.ш</w:t>
      </w:r>
      <w:r>
        <w:fldChar w:fldCharType="end"/>
      </w: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1" w:right="0" w:bottom="11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направлении решения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039/06/106-862/2024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6088380</wp:posOffset>
                </wp:positionH>
                <wp:positionV relativeFrom="paragraph">
                  <wp:posOffset>12700</wp:posOffset>
                </wp:positionV>
                <wp:extent cx="1097280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9.40000000000003pt;margin-top:1.pt;width:86.400000000000006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27.09.2024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30.09.2024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Н.С. Иванова -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Н.С. Теренчева - заместитель начальника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В.А. Кувыкина - специалист первого разряда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Заказчика - ГБУЗ Калининградской области «Городская больница №2»: Купцовой Л.Е. (по доверенности), Гурьяновой М.А. (по доверенности) Заявителя - Игнатенко В.А. (по доверенности), Осина И.В. (по доверенности)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«ТгиеСопГ» жалобу (вх. № 7409/24 от 23.09.2024) Непубличного акционерного общества «Нитриленд»» (далее - Заявитель) на действия заказчика —ГБУЗ Калининградской области «Городская больница №2» (далее - Заказчик) при проведении электронного аукциона, предметом которого является поставка изделий медицинского назначения (перчатки) для нужд ГБУЗ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Калининградской области «Городская больница №2» (извещение № 0335300052224000135», (далее - электронный аукцион),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23.09.2024 года поступила жалоба Заявителя на положения извещения Заказчика об осуществлении закупки. 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закупках) нарушены действиями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заседания Комиссии объявлен перерыв до 10:30 ч. 27.09.2024 года с целью принятия решения.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и в ходе проведения внеплановой проверки, осуществленной Комиссией Калининградского УФАС России в соответствии с</w:t>
      </w:r>
      <w:r>
        <w:fldChar w:fldCharType="begin"/>
      </w:r>
      <w:r>
        <w:rPr/>
        <w:instrText> HYPERLINK "https://login.consultant.ru/link/?req=doc&amp;base=LAW&amp;n=448215&amp;dst=101382"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частью 3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"https://login.consultant.ru/link/?req=doc&amp;base=LAW&amp;n=448215&amp;dst=101382"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99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закупках,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№ 0335300052224000135 Заявителем проводился электронный аукцион на поставку изделий медицинского назначения (перчатки нитриловые).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электронного аукциона: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размещено в единой информационной системе в сфере закупок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\у\у\у./акирк1.доути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ЕИС) - 12.09.2024;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электронный аукцион;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максимальная цена контракта - 775 000,00 руб.;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8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окончания подачи заявок - 23.09.2024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заседании комиссии пояснил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что требование к длине перчаток &gt; 260, установленное по позиции № 1, и к длине перчаток &gt; 270 по позициям №2,3 в описании закупки неправомерно. Отечественные производители не изготавливают медицинские изделия такой длины. Таким образом, установленные требования к товару, приводят к необоснованному ограничению числа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доводами жалобы не согласен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указав в письменных пояснениях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Актом системы национальной стандартизации, которым необходимо руководствоваться при установлении характеристик для смотровых перчаток, является </w:t>
      </w:r>
      <w:r>
        <w:fldChar w:fldCharType="begin"/>
      </w:r>
      <w:r>
        <w:rPr/>
        <w:instrText> HYPERLINK "https://login.consultant.ru/link/?req=doc&amp;base=OTN&amp;n=8069"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ГОСТ Р 52239-2004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Согласно ГОСТ длина перчаток составляет минимальное значение 220 мм и 230 мм. При формировании объекта закупки Заказчик отталкивался от минимального значения. Потребность Заказчика в перчатках длины, указанной в описании закупки, обусловлено надежностью закрепления на рукавах санитарной одежды для защиты рук медицинского персонала при манипуляции с глубоким доступом и защиты предплечья от брызг биологических жидкостей.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также пояснил, что перчатки медицинские смотровые производятся с указанной длиной и их поставку может предложить широкий круг поставщиков, следовательно, отсутствует ограничение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fldChar w:fldCharType="begin"/>
      </w:r>
      <w:r>
        <w:rPr/>
        <w:instrText> HYPERLINK "https://login.consultant.ru/link/?req=doc&amp;base=LAW&amp;n=448215&amp;dst=370"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статьи 8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закупках предусмотрено,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</w:t>
      </w:r>
      <w:r>
        <w:fldChar w:fldCharType="begin"/>
      </w:r>
      <w:r>
        <w:rPr/>
        <w:instrText> HYPERLINK "https://login.consultant.ru/link/?req=doc&amp;base=LAW&amp;n=448215"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</w:t>
      </w:r>
      <w:r>
        <w:fldChar w:fldCharType="begin"/>
      </w:r>
      <w:r>
        <w:rPr/>
        <w:instrText> HYPERLINK "https://login.consultant.ru/link/?req=doc&amp;base=LAW&amp;n=448215&amp;dst=2284"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пункту 5 части 1 статьи 42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</w:t>
      </w:r>
      <w:r>
        <w:fldChar w:fldCharType="begin"/>
      </w:r>
      <w:r>
        <w:rPr/>
        <w:instrText> HYPERLINK "https://login.consultant.ru/link/?req=doc&amp;base=LAW&amp;n=448215&amp;dst=100262"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частью 6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"https://login.consultant.ru/link/?req=doc&amp;base=LAW&amp;n=448215&amp;dst=100262"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23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</w:t>
      </w:r>
      <w:r>
        <w:fldChar w:fldCharType="begin"/>
      </w:r>
      <w:r>
        <w:rPr/>
        <w:instrText> HYPERLINK "https://login.consultant.ru/link/?req=doc&amp;base=LAW&amp;n=448215&amp;dst=2304"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пункту 1 части 2 статьи 42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закупках извещение об осуществлении закупки, если иное не предусмотрено настоящим Федеральным </w:t>
      </w:r>
      <w:r>
        <w:fldChar w:fldCharType="begin"/>
      </w:r>
      <w:r>
        <w:rPr/>
        <w:instrText> HYPERLINK "https://login.consultant.ru/link/?req=doc&amp;base=LAW&amp;n=448215"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должно содержать следующие электронные документы: описание объекта закупки в соответствии со</w:t>
      </w:r>
      <w:r>
        <w:fldChar w:fldCharType="begin"/>
      </w:r>
      <w:r>
        <w:rPr/>
        <w:instrText> HYPERLINK "https://login.consultant.ru/link/?req=doc&amp;base=LAW&amp;n=448215&amp;dst=100386"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статьей 33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</w:t>
      </w:r>
      <w:r>
        <w:fldChar w:fldCharType="begin"/>
      </w:r>
      <w:r>
        <w:rPr/>
        <w:instrText> HYPERLINK "https://login.consultant.ru/link/?req=doc&amp;base=LAW&amp;n=448215&amp;dst=12213"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подпунктом 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"https://login.consultant.ru/link/?req=doc&amp;base=LAW&amp;n=448215&amp;dst=2229"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2 части 1 статьи 33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закупках,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2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2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fldChar w:fldCharType="begin"/>
      </w:r>
      <w:r>
        <w:rPr/>
        <w:instrText> HYPERLINK "https://login.consultant.ru/link/?req=doc&amp;base=LAW&amp;n=448215&amp;dst=2234"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2 статьи 33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закупках описание объекта закупки в соответствии с требованиями, указанными в </w:t>
      </w:r>
      <w:r>
        <w:fldChar w:fldCharType="begin"/>
      </w:r>
      <w:r>
        <w:rPr/>
        <w:instrText> HYPERLINK "https://login.consultant.ru/link/?req=doc&amp;base=LAW&amp;n=448215&amp;dst=2228"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1 настоящей статьи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приведенных норм следует, что действующее законодательство в сфере осуществления закупок допускает самостоятельное формирование Заказчиком объекта закупки, исходя из целей осуществления закупки и потребностей последнего. При этом, потребность Заказчика является определяющим фактором при формировании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при установлении требований к качественным,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требования. При этом данные требования не должны приводить к ограничению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fldChar w:fldCharType="begin"/>
      </w:r>
      <w:r>
        <w:rPr/>
        <w:instrText> HYPERLINK "https://login.consultant.ru/link/?req=doc&amp;base=LAW&amp;n=448215&amp;dst=2303"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статьи 42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закупках, извещение об осуществлении закупки, если иное не предусмотрено настоящим Федеральным </w:t>
      </w:r>
      <w:r>
        <w:fldChar w:fldCharType="begin"/>
      </w:r>
      <w:r>
        <w:rPr/>
        <w:instrText> HYPERLINK "https://login.consultant.ru/link/?req=doc&amp;base=LAW&amp;n=448215"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должно содержать следующие электронные документы: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7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</w:t>
      </w:r>
      <w:r>
        <w:fldChar w:fldCharType="begin"/>
      </w:r>
      <w:r>
        <w:rPr/>
        <w:instrText> HYPERLINK "https://login.consultant.ru/link/?req=doc&amp;base=LAW&amp;n=448215&amp;dst=100386"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статьей 33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7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7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требования к содержанию, составу заявки на участие в закупке в соответствии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настоящим Федеральным </w:t>
      </w:r>
      <w:r>
        <w:fldChar w:fldCharType="begin"/>
      </w:r>
      <w:r>
        <w:rPr/>
        <w:instrText> HYPERLINK "https://login.consultant.ru/link/?req=doc&amp;base=LAW&amp;n=448215"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7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порядок рассмотрения и оценки заявок на участие в конкурсах в соответствии с настоящим Федеральным </w:t>
      </w:r>
      <w:r>
        <w:fldChar w:fldCharType="begin"/>
      </w:r>
      <w:r>
        <w:rPr/>
        <w:instrText> HYPERLINK "https://login.consultant.ru/link/?req=doc&amp;base=LAW&amp;n=448215"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7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 контракта;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7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fldChar w:fldCharType="begin"/>
      </w:r>
      <w:r>
        <w:rPr/>
        <w:instrText> HYPERLINK "https://login.consultant.ru/link/?req=doc&amp;base=LAW&amp;n=448215&amp;dst=2342"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пункту 2 части 1 статьи 43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закупках для участия в конкурентном способе заявка на участие в закупке, должна содержать предложение участника закупки в отношении объекта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4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</w:t>
      </w:r>
      <w:r>
        <w:fldChar w:fldCharType="begin"/>
      </w:r>
      <w:r>
        <w:rPr/>
        <w:instrText> HYPERLINK "https://login.consultant.ru/link/?req=doc&amp;base=LAW&amp;n=448215&amp;dst=2234"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статьи 33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товарный знак (при наличии у товара товарного знака);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4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</w:t>
      </w:r>
      <w:r>
        <w:fldChar w:fldCharType="begin"/>
      </w:r>
      <w:r>
        <w:rPr/>
        <w:instrText> HYPERLINK "https://login.consultant.ru/link/?req=doc&amp;base=LAW&amp;n=448215&amp;dst=2234"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2 настоящей статьи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4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</w:t>
      </w:r>
      <w:r>
        <w:fldChar w:fldCharType="begin"/>
      </w:r>
      <w:r>
        <w:rPr/>
        <w:instrText> HYPERLINK "https://login.consultant.ru/link/?req=doc&amp;base=LAW&amp;n=448215"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4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положений </w:t>
      </w:r>
      <w:r>
        <w:fldChar w:fldCharType="begin"/>
      </w:r>
      <w:r>
        <w:rPr/>
        <w:instrText> HYPERLINK "https://login.consultant.ru/link/?req=doc&amp;base=LAW&amp;n=448215&amp;dst=2234"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2 настоящей статьи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предложение по критериям, предусмотренным</w:t>
      </w:r>
      <w:r>
        <w:fldChar w:fldCharType="begin"/>
      </w:r>
      <w:r>
        <w:rPr/>
        <w:instrText> HYPERLINK "https://login.consultant.ru/link/?req=doc&amp;base=LAW&amp;n=448215&amp;dst=100364"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пунктами 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(или)</w:t>
      </w:r>
      <w:r>
        <w:fldChar w:fldCharType="begin"/>
      </w:r>
      <w:r>
        <w:rPr/>
        <w:instrText> HYPERLINK "https://login.consultant.ru/link/?req=doc&amp;base=LAW&amp;n=448215&amp;dst=100365"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3 части 1 статьи 32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4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fldChar w:fldCharType="begin"/>
      </w:r>
      <w:r>
        <w:rPr/>
        <w:instrText> HYPERLINK "https://login.consultant.ru/link/?req=doc&amp;base=LAW&amp;n=448215&amp;dst=2354"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3 статьи 43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закупках требовать от участника закупки представления иных информации и документов, за исключением предусмотренных</w:t>
      </w:r>
      <w:r>
        <w:fldChar w:fldCharType="begin"/>
      </w:r>
      <w:r>
        <w:rPr/>
        <w:instrText> HYPERLINK "https://login.consultant.ru/link/?req=doc&amp;base=LAW&amp;n=448215&amp;dst=2324"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частями 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fldChar w:fldCharType="begin"/>
      </w:r>
      <w:r>
        <w:rPr/>
        <w:instrText> HYPERLINK "https://login.consultant.ru/link/?req=doc&amp;base=LAW&amp;n=448215&amp;dst=2351"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настоящей статьи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не допускается.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Как установлено Комиссией, согласно описанию объекта закупки позиция № 1 - необходимо поставить перчатки смотровые/процедурные нитриловые, неопудренные, нестерильные (код КТРУ: 22.19.60.119-00000008) длиной &gt;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№ 2,3 необходимо поставить перчатки смотровые/процедурные нитриловые, неопудренные, нестерильные (код КТРУ: 22.19.60.119-00000008), длиной &gt; 270 мм.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ходе проведения аукциона было подано две заявки. Исходя из анализа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представленных коммерческих предложений Комиссией установлено, что медицинские перчатки трех производителей соответствуют описанию закупки, а именно: перчатки, зарегистрированные в рамках регистрационного удостоверения ФСЗ 2010/07612 от 18.08.2014. Производитель "ВРП П. СДН БХД"; перчатки, зарегистрированные в рамках регистрационного удостоверения ФСЗ 2009/04144 от 11.06.2014. Производитель "Хелиомед Хандельсгез м. б.Х."; перчатки, зарегистрированные в рамках регистрационного удостоверения ФСЗ 2011/10956 от 23.09.2020. Производитель "Шэн В. Эй., Инк.".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на рынке существуют перчатки смотровые/процедурные нитриловые, неопудренные, нестерильные как минимум трех производителей, которые отвечают требованиям позиций № 1,2,3.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на основании</w:t>
      </w:r>
      <w:r>
        <w:fldChar w:fldCharType="begin"/>
      </w:r>
      <w:r>
        <w:rPr/>
        <w:instrText> HYPERLINK "https://login.consultant.ru/link/?req=doc&amp;base=LAW&amp;n=448215&amp;dst=2229"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пункта 2 части 1 статьи 33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закупках Заказчик должен использовать при составлении описания объекта закупки показателей, требований, касающихся технических характеристик, функциональных характеристик (потребительских свойств) товара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технические, функциональные характеристики перчаток смотровых/диагностических регламентируются ГОСТом Р 52239-2004.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разделу 6.1 ГОСТа Р 52239-2004 длину перчатки измеряют по кратчайшему расстоянию от кончика среднего пальца до края манжеты, которая должна соответствовать значениям, приведенным в </w:t>
      </w:r>
      <w:r>
        <w:fldChar w:fldCharType="begin"/>
      </w:r>
      <w:r>
        <w:rPr/>
        <w:instrText> HYPERLINK "https://login.consultant.ru/link/?req=doc&amp;base=OTN&amp;n=8069&amp;dst=100082"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таблице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tbl>
      <w:tblPr>
        <w:tblOverlap w:val="never"/>
        <w:jc w:val="center"/>
        <w:tblLayout w:type="fixed"/>
      </w:tblPr>
      <w:tblGrid>
        <w:gridCol w:w="1027"/>
        <w:gridCol w:w="1229"/>
        <w:gridCol w:w="1488"/>
        <w:gridCol w:w="1229"/>
        <w:gridCol w:w="1282"/>
        <w:gridCol w:w="1843"/>
        <w:gridCol w:w="1853"/>
      </w:tblGrid>
      <w:tr>
        <w:trPr>
          <w:trHeight w:val="27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Код размера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Ширина ^ </w:t>
            </w:r>
            <w:r>
              <w:fldChar w:fldCharType="begin"/>
            </w:r>
            <w:r>
              <w:rPr/>
              <w:instrText> HYPERLINK "https://login.consultant.ru/link/?req=doc&amp;base=OTN&amp;n=8069&amp;dst=100080"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(рисунок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 </w:t>
            </w:r>
            <w:r>
              <w:fldChar w:fldCharType="begin"/>
            </w:r>
            <w:r>
              <w:rPr/>
              <w:instrText> HYPERLINK "https://login.consultant.ru/link/?req=doc&amp;base=OTN&amp;n=8069&amp;dst=100080"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1)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Наглядный размер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Ширина по наглядно му размеру ^ </w:t>
            </w:r>
            <w:r>
              <w:fldChar w:fldCharType="begin"/>
            </w:r>
            <w:r>
              <w:rPr/>
              <w:instrText> HYPERLINK "https://login.consultant.ru/link/?req=doc&amp;base=OTN&amp;n=8069&amp;dst=100080"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(рисунок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 </w:t>
            </w:r>
            <w:r>
              <w:fldChar w:fldCharType="begin"/>
            </w:r>
            <w:r>
              <w:rPr/>
              <w:instrText> HYPERLINK "https://login.consultant.ru/link/?req=doc&amp;base=OTN&amp;n=8069&amp;dst=100080"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1)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Длина 1 </w:t>
            </w:r>
            <w:r>
              <w:fldChar w:fldCharType="begin"/>
            </w:r>
            <w:r>
              <w:rPr/>
              <w:instrText> HYPERLINK "https://login.consultant.ru/link/?req=doc&amp;base=OTN&amp;n=8069&amp;dst=100080"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(рисунок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 </w:t>
            </w:r>
            <w:r>
              <w:fldChar w:fldCharType="begin"/>
            </w:r>
            <w:r>
              <w:rPr/>
              <w:instrText> HYPERLINK "https://login.consultant.ru/link/?req=doc&amp;base=OTN&amp;n=8069&amp;dst=100080"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1)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, мм,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Толщина (в точках, указанных на </w:t>
            </w:r>
            <w:r>
              <w:fldChar w:fldCharType="begin"/>
            </w:r>
            <w:r>
              <w:rPr/>
              <w:instrText> HYPERLINK "https://login.consultant.ru/link/?req=doc&amp;base=OTN&amp;n=8069&amp;dst=100122"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рисунке 2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), мм, не менее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tabs>
                <w:tab w:pos="1594" w:val="left"/>
              </w:tabs>
              <w:bidi w:val="0"/>
              <w:spacing w:before="8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Толщина (точно</w:t>
              <w:tab/>
              <w:t>в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центре ладони), мм, не более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tabs>
                <w:tab w:pos="7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</w:t>
              <w:tab/>
              <w:t>и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менее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&lt;= 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Сверхмалы е (X - 8)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&lt;= 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220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Гладкая поверхность - 0,08;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текстурирован ная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поверхность - 0,11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Гладкая поверхность - 0,22;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текстурирован ная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поверхность - 0,23</w:t>
            </w:r>
          </w:p>
        </w:tc>
      </w:tr>
      <w:tr>
        <w:trPr>
          <w:trHeight w:val="8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 1/2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83 +/- 5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Маленькие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(8)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80 +/- 10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220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89 +/- 5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Средние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(М)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95 +/- 10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230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7 1/2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95 +/- 5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230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102 +/- 6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Большие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(Ъ)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110 +/- 10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230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Гладкая поверхность -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Гладкая поверхность -</w:t>
            </w:r>
          </w:p>
        </w:tc>
      </w:tr>
      <w:tr>
        <w:trPr>
          <w:trHeight w:val="52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 1/2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109 +/- 6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230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027"/>
        <w:gridCol w:w="1229"/>
        <w:gridCol w:w="1488"/>
        <w:gridCol w:w="1229"/>
        <w:gridCol w:w="1282"/>
        <w:gridCol w:w="1843"/>
        <w:gridCol w:w="1853"/>
      </w:tblGrid>
      <w:tr>
        <w:trPr>
          <w:trHeight w:val="180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tabs>
                <w:tab w:pos="754" w:val="left"/>
              </w:tabs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9</w:t>
              <w:tab/>
              <w:t>и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более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&gt;= 110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Сверхболь шие (X - И)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&gt;= 110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230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0,08;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текстурирован ная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поверхность - 0,11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0,22;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текстурирован ная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поверхность - 0,23</w:t>
            </w:r>
          </w:p>
        </w:tc>
      </w:tr>
    </w:tbl>
    <w:p>
      <w:pPr>
        <w:widowControl w:val="0"/>
        <w:spacing w:after="279" w:line="1" w:lineRule="exact"/>
      </w:pPr>
    </w:p>
    <w:p>
      <w:pPr>
        <w:widowControl w:val="0"/>
        <w:spacing w:line="1" w:lineRule="exact"/>
      </w:pPr>
    </w:p>
    <w:p>
      <w:pPr>
        <w:framePr w:w="3475" w:h="5482" w:hSpace="1205" w:vSpace="101" w:wrap="notBeside" w:vAnchor="text" w:hAnchor="text" w:x="769" w:y="1"/>
        <w:widowControl w:val="0"/>
        <w:rPr>
          <w:sz w:val="2"/>
          <w:szCs w:val="2"/>
        </w:rPr>
      </w:pPr>
      <w:r>
        <w:drawing>
          <wp:inline>
            <wp:extent cx="2206625" cy="348107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06625" cy="3481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487680" distR="3069590" simplePos="0" relativeHeight="125829380" behindDoc="0" locked="0" layoutInCell="1" allowOverlap="1">
                <wp:simplePos x="0" y="0"/>
                <wp:positionH relativeFrom="column">
                  <wp:posOffset>2697480</wp:posOffset>
                </wp:positionH>
                <wp:positionV relativeFrom="paragraph">
                  <wp:posOffset>3310255</wp:posOffset>
                </wp:positionV>
                <wp:extent cx="762000" cy="23495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Рисунок 1.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12.40000000000001pt;margin-top:260.64999999999998pt;width:60.pt;height:18.5pt;z-index:-125829373;mso-wrap-distance-left:38.399999999999999pt;mso-wrap-distance-right:241.70000000000002pt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Рисунок 1.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</w:t>
      </w:r>
      <w:r>
        <w:fldChar w:fldCharType="begin"/>
      </w:r>
      <w:r>
        <w:rPr/>
        <w:instrText> HYPERLINK "https://login.consultant.ru/link/?req=doc&amp;base=OTN&amp;n=8069"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ГОСТ Р 52239-2004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устанавливает требования к конкретному значению длины и толщины перчаток.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отмечает, что объектом закупки является поставка товара, а не его изготовление, следовательно, принять участие в данной закупке может любое юридическое, физическое лицо, индивидуальный предприниматель, дилеры, дистрибьюторы, поставщики, производители, готовые поставить товар, отвечающий требованиям описания объекта закупки и удовлетворяющий потребности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доводы жалобы Заявителя не нашли своего подтверждения. Доказательств иного к материалам жалобы не представлено.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</w:t>
      </w:r>
      <w:r>
        <w:fldChar w:fldCharType="begin"/>
      </w:r>
      <w:r>
        <w:rPr/>
        <w:instrText> HYPERLINK "https://login.consultant.ru/link/?req=doc&amp;base=LAW&amp;n=448215&amp;dst=101376"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статей 99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"https://login.consultant.ru/link/?req=doc&amp;base=LAW&amp;n=448215&amp;dst=101548"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106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о контрактной системе Комиссия, 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Непубличного акционерного общества «Нитриленд» на действия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Калининградской области «Городская больница №2» при проведении электронного аукциона на поставку изделий медицинского назначения (перчатки нитриловые) (изв. № 0335300052224000135) необоснованной.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1" w:right="528" w:bottom="1184" w:left="108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37147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317500</wp:posOffset>
                </wp:positionV>
                <wp:extent cx="1700530" cy="23495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25.pt;width:133.90000000000001pt;height:18.5pt;z-index:-125829371;mso-wrap-distance-left:0;mso-wrap-distance-top:25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7350" distB="0" distL="0" distR="1789430" simplePos="0" relativeHeight="125829384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387350</wp:posOffset>
            </wp:positionV>
            <wp:extent cx="353695" cy="53657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789940</wp:posOffset>
                </wp:positionV>
                <wp:extent cx="1283335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5.65000000000001pt;margin-top:62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478790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2.05000000000001pt;margin-top:37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371475" distL="0" distR="0" simplePos="0" relativeHeight="125829385" behindDoc="0" locked="0" layoutInCell="1" allowOverlap="1">
                <wp:simplePos x="0" y="0"/>
                <wp:positionH relativeFrom="page">
                  <wp:posOffset>6216650</wp:posOffset>
                </wp:positionH>
                <wp:positionV relativeFrom="paragraph">
                  <wp:posOffset>317500</wp:posOffset>
                </wp:positionV>
                <wp:extent cx="975360" cy="23495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9.5pt;margin-top:25.pt;width:76.799999999999997pt;height:18.5pt;z-index:-125829368;mso-wrap-distance-left:0;mso-wrap-distance-top:25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00СС85071В8О43С07Е0В9О1А153С0357А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464185</wp:posOffset>
                </wp:positionV>
                <wp:extent cx="1276985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5.65000000000001pt;margin-top:36.550000000000004pt;width:100.5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8585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2.05000000000001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8585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Н.С. Теренчева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Теренчева Наталья Сергеевна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19О3267О1А025А667Е87974879А5Е991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21.08.2024 по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14.11.2025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15" w:line="240" w:lineRule="auto"/>
        <w:ind w:left="0" w:right="0" w:firstLine="0"/>
        <w:jc w:val="center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2.05000000000001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В.А. Кувыкина</w:t>
      </w:r>
    </w:p>
    <w:p>
      <w:pPr>
        <w:pStyle w:val="Style3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Кувыкина Виктория Анатольевна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0098142Е3551ВЕ0С6В6903А5Е8В0255В64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21.08.2024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14.11.2025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решение может быть обжаловано в судебном порядке в течение трех месяцев со дня его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5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10008235</wp:posOffset>
              </wp:positionV>
              <wp:extent cx="32677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2024-5335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88.05000000000007pt;width:257.30000000000001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2024-5335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2024-5335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2024-5335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7"/>
      <w:szCs w:val="17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6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476099"/>
      <w:sz w:val="14"/>
      <w:szCs w:val="14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8">
    <w:name w:val="Другое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3">
    <w:name w:val="Основной текст (2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character" w:customStyle="1" w:styleId="CharStyle38">
    <w:name w:val="Основной текст (5)_"/>
    <w:basedOn w:val="DefaultParagraphFont"/>
    <w:link w:val="Style3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character" w:customStyle="1" w:styleId="CharStyle41">
    <w:name w:val="Основной текст (4)_"/>
    <w:basedOn w:val="DefaultParagraphFont"/>
    <w:link w:val="Style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7"/>
      <w:szCs w:val="17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6)"/>
    <w:basedOn w:val="Normal"/>
    <w:link w:val="CharStyle9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476099"/>
      <w:sz w:val="14"/>
      <w:szCs w:val="14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7">
    <w:name w:val="Другое"/>
    <w:basedOn w:val="Normal"/>
    <w:link w:val="CharStyle28"/>
    <w:pPr>
      <w:widowControl w:val="0"/>
      <w:shd w:val="clear" w:color="auto" w:fill="auto"/>
      <w:spacing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2">
    <w:name w:val="Основной текст (2)"/>
    <w:basedOn w:val="Normal"/>
    <w:link w:val="CharStyle33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paragraph" w:customStyle="1" w:styleId="Style37">
    <w:name w:val="Основной текст (5)"/>
    <w:basedOn w:val="Normal"/>
    <w:link w:val="CharStyle38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paragraph" w:customStyle="1" w:styleId="Style40">
    <w:name w:val="Основной текст (4)"/>
    <w:basedOn w:val="Normal"/>
    <w:link w:val="CharStyle41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