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1"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1"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1973" w:h="715" w:wrap="none" w:hAnchor="page" w:x="64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«Сабрэкс»</w:t>
      </w:r>
    </w:p>
    <w:p>
      <w:pPr>
        <w:pStyle w:val="Style5"/>
        <w:keepNext w:val="0"/>
        <w:keepLines w:val="0"/>
        <w:framePr w:w="1973" w:h="715" w:wrap="none" w:hAnchor="page" w:x="6411"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1-а-У'@1паП.П1</w:t>
      </w:r>
    </w:p>
    <w:p>
      <w:pPr>
        <w:widowControl w:val="0"/>
        <w:spacing w:after="714" w:line="1" w:lineRule="exact"/>
      </w:pPr>
    </w:p>
    <w:p>
      <w:pPr>
        <w:widowControl w:val="0"/>
        <w:spacing w:line="1" w:lineRule="exact"/>
        <w:sectPr>
          <w:footerReference w:type="default" r:id="rId5"/>
          <w:footnotePr>
            <w:pos w:val="pageBottom"/>
            <w:numFmt w:val="decimal"/>
            <w:numRestart w:val="continuous"/>
          </w:footnotePr>
          <w:pgSz w:w="11900" w:h="16840"/>
          <w:pgMar w:top="1162" w:right="532" w:bottom="649" w:left="1106" w:header="734" w:footer="3" w:gutter="0"/>
          <w:pgNumType w:start="1"/>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540"/>
        <w:jc w:val="both"/>
        <w:sectPr>
          <w:footnotePr>
            <w:pos w:val="pageBottom"/>
            <w:numFmt w:val="decimal"/>
            <w:numRestart w:val="continuous"/>
          </w:footnotePr>
          <w:type w:val="continuous"/>
          <w:pgSz w:w="11900" w:h="16840"/>
          <w:pgMar w:top="1162" w:right="2744" w:bottom="621" w:left="1984" w:header="0" w:footer="3" w:gutter="0"/>
          <w:cols w:space="720"/>
          <w:noEndnote/>
          <w:rtlGutter w:val="0"/>
          <w:docGrid w:linePitch="360"/>
        </w:sectPr>
      </w:pPr>
      <w:r>
        <w:rPr>
          <w:b/>
          <w:bCs/>
          <w:spacing w:val="0"/>
          <w:w w:val="100"/>
          <w:position w:val="0"/>
          <w:shd w:val="clear" w:color="auto" w:fill="auto"/>
          <w:lang w:val="ru-RU" w:eastAsia="ru-RU" w:bidi="ru-RU"/>
        </w:rPr>
        <w:t>УПРАВЛЕНИЕ</w:t>
      </w: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805815</wp:posOffset>
                </wp:positionH>
                <wp:positionV relativeFrom="paragraph">
                  <wp:posOffset>673735</wp:posOffset>
                </wp:positionV>
                <wp:extent cx="2435225" cy="579120"/>
                <wp:wrapTopAndBottom/>
                <wp:docPr id="3" name="Shape 3"/>
                <a:graphic xmlns:a="http://schemas.openxmlformats.org/drawingml/2006/main">
                  <a:graphicData uri="http://schemas.microsoft.com/office/word/2010/wordprocessingShape">
                    <wps:wsp>
                      <wps:cNvSpPr txBox="1"/>
                      <wps:spPr>
                        <a:xfrm>
                          <a:ext cx="2435225" cy="579120"/>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5"/>
                              <w:keepNext w:val="0"/>
                              <w:keepLines w:val="0"/>
                              <w:widowControl w:val="0"/>
                              <w:shd w:val="clear" w:color="auto" w:fill="auto"/>
                              <w:tabs>
                                <w:tab w:pos="1838" w:val="left"/>
                              </w:tabs>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40215/24</w:t>
                            </w:r>
                          </w:p>
                        </w:txbxContent>
                      </wps:txbx>
                      <wps:bodyPr lIns="0" tIns="0" rIns="0" bIns="0">
                        <a:noAutoFit/>
                      </wps:bodyPr>
                    </wps:wsp>
                  </a:graphicData>
                </a:graphic>
              </wp:anchor>
            </w:drawing>
          </mc:Choice>
          <mc:Fallback>
            <w:pict>
              <v:shape id="_x0000_s1029" type="#_x0000_t202" style="position:absolute;margin-left:63.450000000000003pt;margin-top:53.050000000000004pt;width:191.75pt;height:45.6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5"/>
                        <w:keepNext w:val="0"/>
                        <w:keepLines w:val="0"/>
                        <w:widowControl w:val="0"/>
                        <w:shd w:val="clear" w:color="auto" w:fill="auto"/>
                        <w:tabs>
                          <w:tab w:pos="1838" w:val="left"/>
                        </w:tabs>
                        <w:bidi w:val="0"/>
                        <w:spacing w:before="0" w:after="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40215/24</w:t>
                      </w:r>
                    </w:p>
                  </w:txbxContent>
                </v:textbox>
                <w10:wrap type="topAndBottom" anchorx="page"/>
              </v:shape>
            </w:pict>
          </mc:Fallback>
        </mc:AlternateConten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spacing w:lineRule="exact" w:line="1"/>
        <w:rPr>
          <w:sz w:val="2"/>
          <w:szCs w:val="2"/>
        </w:rPr>
      </w:pPr>
      <w:r>
        <w:br w:type="column"/>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Дирекция ДОНМ</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2744" w:bottom="621" w:left="1984" w:header="0" w:footer="3" w:gutter="0"/>
          <w:cols w:num="2" w:space="720" w:equalWidth="0">
            <w:col w:w="2453" w:space="1968"/>
            <w:col w:w="2750"/>
          </w:cols>
          <w:noEndnote/>
          <w:rtlGutter w:val="0"/>
          <w:docGrid w:linePitch="360"/>
        </w:sectPr>
      </w:pPr>
      <w:r>
        <w:rPr>
          <w:color w:val="000000"/>
          <w:spacing w:val="0"/>
          <w:w w:val="100"/>
          <w:position w:val="0"/>
          <w:shd w:val="clear" w:color="auto" w:fill="auto"/>
          <w:lang w:val="ru-RU" w:eastAsia="ru-RU" w:bidi="ru-RU"/>
        </w:rPr>
        <w:t>Шгекыуа@еди.то8.ги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490" w:h="240"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2" w:bottom="649" w:left="1106" w:header="0" w:footer="3" w:gutter="0"/>
          <w:cols w:space="720"/>
          <w:noEndnote/>
          <w:rtlGutter w:val="0"/>
          <w:docGrid w:linePitch="360"/>
        </w:sectPr>
      </w:pPr>
    </w:p>
    <w:p>
      <w:pPr>
        <w:widowControl w:val="0"/>
        <w:spacing w:line="240" w:lineRule="exact"/>
        <w:rPr>
          <w:sz w:val="19"/>
          <w:szCs w:val="19"/>
        </w:rPr>
      </w:pP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621"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r>
      <w:r>
        <w:rPr>
          <w:b/>
          <w:bCs/>
          <w:color w:val="000000"/>
          <w:spacing w:val="0"/>
          <w:w w:val="100"/>
          <w:position w:val="0"/>
          <w:shd w:val="clear" w:color="auto" w:fill="auto"/>
          <w:lang w:val="ru-RU" w:eastAsia="ru-RU" w:bidi="ru-RU"/>
        </w:rPr>
        <w:t>по делу №077/06/106-13107/2024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6393180</wp:posOffset>
                </wp:positionH>
                <wp:positionV relativeFrom="paragraph">
                  <wp:posOffset>38100</wp:posOffset>
                </wp:positionV>
                <wp:extent cx="798830" cy="201295"/>
                <wp:wrapSquare wrapText="left"/>
                <wp:docPr id="5" name="Shape 5"/>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1" type="#_x0000_t202" style="position:absolute;margin-left:503.40000000000003pt;margin-top:3.pt;width:62.899999999999999pt;height:15.85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30.09.2024</w:t>
      </w:r>
    </w:p>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Е.Д. Мартьяновой,</w:t>
      </w:r>
    </w:p>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О.А. Челновой,</w:t>
      </w:r>
    </w:p>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представителей:</w:t>
      </w:r>
    </w:p>
    <w:p>
      <w:pPr>
        <w:pStyle w:val="Style5"/>
        <w:keepNext w:val="0"/>
        <w:keepLines w:val="0"/>
        <w:widowControl w:val="0"/>
        <w:shd w:val="clear" w:color="auto" w:fill="auto"/>
        <w:bidi w:val="0"/>
        <w:spacing w:before="0" w:after="0" w:line="211" w:lineRule="auto"/>
        <w:ind w:left="0" w:right="0" w:firstLine="680"/>
        <w:jc w:val="both"/>
      </w:pPr>
      <w:r>
        <w:rPr>
          <w:color w:val="000000"/>
          <w:spacing w:val="0"/>
          <w:w w:val="100"/>
          <w:position w:val="0"/>
          <w:shd w:val="clear" w:color="auto" w:fill="auto"/>
          <w:lang w:val="ru-RU" w:eastAsia="ru-RU" w:bidi="ru-RU"/>
        </w:rPr>
        <w:t>ГКУ Дирекция ДОНМ: С.В. Парамонова (по доверенности №72/24 от 13.03.2024), Л.В. Кондраковой (по доверенности №125/24 от 27.09.2024), З.А. Сулеймановой (по доверенности №124/24 от 27.09.2024),</w:t>
      </w:r>
    </w:p>
    <w:p>
      <w:pPr>
        <w:pStyle w:val="Style5"/>
        <w:keepNext w:val="0"/>
        <w:keepLines w:val="0"/>
        <w:widowControl w:val="0"/>
        <w:shd w:val="clear" w:color="auto" w:fill="auto"/>
        <w:bidi w:val="0"/>
        <w:spacing w:before="0" w:after="0" w:line="211" w:lineRule="auto"/>
        <w:ind w:left="0" w:right="0" w:firstLine="680"/>
        <w:jc w:val="both"/>
      </w:pPr>
      <w:r>
        <w:rPr>
          <w:color w:val="000000"/>
          <w:spacing w:val="0"/>
          <w:w w:val="100"/>
          <w:position w:val="0"/>
          <w:shd w:val="clear" w:color="auto" w:fill="auto"/>
          <w:lang w:val="ru-RU" w:eastAsia="ru-RU" w:bidi="ru-RU"/>
        </w:rPr>
        <w:t>в отсутствие представителей ООО «Сабрэкс», о времени и порядке заседания Комиссии Управления уведомленных посредством функционала Единой информационной системы,</w:t>
      </w:r>
    </w:p>
    <w:p>
      <w:pPr>
        <w:pStyle w:val="Style5"/>
        <w:keepNext w:val="0"/>
        <w:keepLines w:val="0"/>
        <w:widowControl w:val="0"/>
        <w:shd w:val="clear" w:color="auto" w:fill="auto"/>
        <w:bidi w:val="0"/>
        <w:spacing w:before="0" w:after="200"/>
        <w:ind w:left="0" w:right="0" w:firstLine="680"/>
        <w:jc w:val="both"/>
      </w:pPr>
      <w:r>
        <w:rPr>
          <w:color w:val="000000"/>
          <w:spacing w:val="0"/>
          <w:w w:val="100"/>
          <w:position w:val="0"/>
          <w:shd w:val="clear" w:color="auto" w:fill="auto"/>
          <w:lang w:val="ru-RU" w:eastAsia="ru-RU" w:bidi="ru-RU"/>
        </w:rPr>
        <w:t>рассмотрев жалобу ООО «Сабрэкс» (далее — Заявитель) на действия ГКУ Дирекция ДОНМ (далее — Заказчик) при проведении запроса котировок в электронной форме на право заключения государственного контракта на поставку товаров (стол двухместный и др.) для оснащения учреждений СПО в 2024 году (среди СМП и СОНО) (Закупка №0873500000824001211) (далее - запрос котировок), в соответствии с Федеральным законом от 05.04.2013 №44-ФЗ «О контрактной системе в сфере закупок товаров, работ, услуг для обеспечения</w:t>
      </w:r>
    </w:p>
    <w:p>
      <w:pPr>
        <w:pStyle w:val="Style14"/>
        <w:keepNext/>
        <w:keepLines/>
        <w:widowControl w:val="0"/>
        <w:shd w:val="clear" w:color="auto" w:fill="auto"/>
        <w:bidi w:val="0"/>
        <w:spacing w:before="0" w:after="0" w:line="240" w:lineRule="auto"/>
        <w:ind w:left="0" w:right="0"/>
        <w:jc w:val="left"/>
        <w:sectPr>
          <w:footnotePr>
            <w:pos w:val="pageBottom"/>
            <w:numFmt w:val="decimal"/>
            <w:numRestart w:val="continuous"/>
          </w:footnotePr>
          <w:type w:val="continuous"/>
          <w:pgSz w:w="11900" w:h="16840"/>
          <w:pgMar w:top="1162" w:right="532" w:bottom="621" w:left="1106"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5"/>
        <w:keepNext w:val="0"/>
        <w:keepLines w:val="0"/>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24.09.2024 №ИЗК1 заявка Заявителя (идентификационный номер заявки 1084356) отклонена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п.5 ч.12 ст.48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Закона 44-ФЗ» Участником закупки в составе заявки представлена информация из реестра российской промышленной продукции без указания совокупного количества баллов за выполнение (освоение) технологических операций (условий) на территории Российской Федерации</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объекта закупки должен руководствоваться следующими правилами:</w:t>
      </w:r>
    </w:p>
    <w:p>
      <w:pPr>
        <w:pStyle w:val="Style5"/>
        <w:keepNext w:val="0"/>
        <w:keepLines w:val="0"/>
        <w:widowControl w:val="0"/>
        <w:numPr>
          <w:ilvl w:val="0"/>
          <w:numId w:val="1"/>
        </w:numPr>
        <w:shd w:val="clear" w:color="auto" w:fill="auto"/>
        <w:tabs>
          <w:tab w:pos="1078" w:val="left"/>
        </w:tabs>
        <w:bidi w:val="0"/>
        <w:spacing w:before="0" w:after="0"/>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5"/>
        <w:keepNext w:val="0"/>
        <w:keepLines w:val="0"/>
        <w:widowControl w:val="0"/>
        <w:numPr>
          <w:ilvl w:val="0"/>
          <w:numId w:val="3"/>
        </w:numPr>
        <w:shd w:val="clear" w:color="auto" w:fill="auto"/>
        <w:tabs>
          <w:tab w:pos="1296" w:val="left"/>
        </w:tabs>
        <w:bidi w:val="0"/>
        <w:spacing w:before="0" w:after="0"/>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3"/>
        </w:numPr>
        <w:shd w:val="clear" w:color="auto" w:fill="auto"/>
        <w:tabs>
          <w:tab w:pos="1073" w:val="left"/>
        </w:tabs>
        <w:bidi w:val="0"/>
        <w:spacing w:before="0" w:after="0"/>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3"/>
        </w:numPr>
        <w:shd w:val="clear" w:color="auto" w:fill="auto"/>
        <w:tabs>
          <w:tab w:pos="1064" w:val="left"/>
        </w:tabs>
        <w:bidi w:val="0"/>
        <w:spacing w:before="0" w:after="280"/>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3"/>
        </w:numPr>
        <w:shd w:val="clear" w:color="auto" w:fill="auto"/>
        <w:tabs>
          <w:tab w:pos="1162" w:val="left"/>
        </w:tabs>
        <w:bidi w:val="0"/>
        <w:spacing w:before="0" w:after="0"/>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numPr>
          <w:ilvl w:val="0"/>
          <w:numId w:val="1"/>
        </w:numPr>
        <w:shd w:val="clear" w:color="auto" w:fill="auto"/>
        <w:tabs>
          <w:tab w:pos="1042" w:val="left"/>
        </w:tabs>
        <w:bidi w:val="0"/>
        <w:spacing w:before="0" w:after="0"/>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w:t>
      </w:r>
      <w:r>
        <w:rPr>
          <w:color w:val="000000"/>
          <w:spacing w:val="0"/>
          <w:w w:val="100"/>
          <w:position w:val="0"/>
          <w:shd w:val="clear" w:color="auto" w:fill="auto"/>
          <w:lang w:val="ru-RU" w:eastAsia="ru-RU" w:bidi="ru-RU"/>
        </w:rPr>
        <w:t>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Заказчиком 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закупаемые товары, например, соответствуют позиции КТРУ 31.01.10.000-00000005 «Стол письменный», что соответствует коду по общероссийскому классификатору продукции по видам экономической деятельности (далее — ОКПД2) ОКПД 2 31.01.1 «Мебель для офисов и предприятий торговли», который в свою очередь, включен в Перечень, установленный положениями Постановления №616.</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пп.«м» - «п» п.1, пп.«а» - «в» п.2, п.3 или п.4,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Исчерпывающий перечень информации и документов, которые должна содержать заявка на участие в конкурентном способе закупки, установлен в ч. 1 ст. 43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w:t>
      </w:r>
      <w:r>
        <w:rPr>
          <w:color w:val="000000"/>
          <w:spacing w:val="0"/>
          <w:w w:val="100"/>
          <w:position w:val="0"/>
          <w:shd w:val="clear" w:color="auto" w:fill="auto"/>
          <w:lang w:val="ru-RU" w:eastAsia="ru-RU" w:bidi="ru-RU"/>
        </w:rPr>
        <w:t>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Заказчиком в пп.3.1 п.3 «Требования к содержанию, составу заявки на участие в закупке и инструкция по ее заполнению» установлены требования к составу заявки участников закупки: «</w:t>
      </w:r>
      <w:r>
        <w:rPr>
          <w:i/>
          <w:iCs/>
          <w:color w:val="000000"/>
          <w:spacing w:val="0"/>
          <w:w w:val="100"/>
          <w:position w:val="0"/>
          <w:shd w:val="clear" w:color="auto" w:fill="auto"/>
          <w:lang w:val="ru-RU" w:eastAsia="ru-RU" w:bidi="ru-RU"/>
        </w:rPr>
        <w:t>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участник закупки указывает (декларирует) в составе заявки на участие в закупке: в отношении товаров, страной происхождения которых является РФ,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РФ, если это предусмотрено постановлением Правительства РФ от 17 июля 2015 г. ^ 719 (для продукции, в отношении которой установлены требования о совокупном количестве баллов за выполнение (освоение) на территории РФ соответствующих операций (условий). Информация о реестровых записях о товаре и совокупном количестве баллов включается в контракт; в отношении товаров, страной происхождения которых является государство - член ЕАЭС, за исключением РФ,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ЕАЭС,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 Обязателен</w:t>
      </w:r>
      <w:r>
        <w:rPr>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п.1 Постановления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к постановлению №616 (далее — Перечень).</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п.10 Постановления №616 установлено, что для подтверждения соответствия закупки промышленных товаров требованиям, установленным </w:t>
      </w:r>
      <w:r>
        <w:rPr>
          <w:color w:val="000000"/>
          <w:spacing w:val="0"/>
          <w:w w:val="100"/>
          <w:position w:val="0"/>
          <w:shd w:val="clear" w:color="auto" w:fill="auto"/>
          <w:lang w:val="ru-RU" w:eastAsia="ru-RU" w:bidi="ru-RU"/>
        </w:rPr>
        <w:t>Постановлением №616, участник закупки указывает (декларирует) в составе заявки на участие в закупке:</w:t>
      </w:r>
    </w:p>
    <w:p>
      <w:pPr>
        <w:pStyle w:val="Style5"/>
        <w:keepNext w:val="0"/>
        <w:keepLines w:val="0"/>
        <w:widowControl w:val="0"/>
        <w:numPr>
          <w:ilvl w:val="0"/>
          <w:numId w:val="5"/>
        </w:numPr>
        <w:shd w:val="clear" w:color="auto" w:fill="auto"/>
        <w:tabs>
          <w:tab w:pos="898" w:val="left"/>
        </w:tabs>
        <w:bidi w:val="0"/>
        <w:spacing w:before="0" w:after="0"/>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5"/>
        <w:keepNext w:val="0"/>
        <w:keepLines w:val="0"/>
        <w:widowControl w:val="0"/>
        <w:numPr>
          <w:ilvl w:val="0"/>
          <w:numId w:val="5"/>
        </w:numPr>
        <w:shd w:val="clear" w:color="auto" w:fill="auto"/>
        <w:tabs>
          <w:tab w:pos="898" w:val="left"/>
        </w:tabs>
        <w:bidi w:val="0"/>
        <w:spacing w:before="0" w:after="0"/>
        <w:ind w:left="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п.6 Постановления №616. Информация о реестровых записях о товаре и совокупном количестве баллов включается в контракт.</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w:t>
      </w:r>
      <w:r>
        <w:rPr>
          <w:color w:val="000000"/>
          <w:spacing w:val="0"/>
          <w:w w:val="100"/>
          <w:position w:val="0"/>
          <w:shd w:val="clear" w:color="auto" w:fill="auto"/>
          <w:lang w:val="ru-RU" w:eastAsia="ru-RU" w:bidi="ru-RU"/>
        </w:rPr>
        <w:t>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Заявителем в составе заявки предложен к поставке, например, «Стол письменный», а также представлена номер реестровой записи из реестра российской промышленной продукции, исторический номер №2316\151\2022, при этом не представлена информация о совокупном количестве баллов за выполнение (освоение) на территории Российской Федерации таких операций (условий).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пп.«а» п.1 ч.3 ст.50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считает отклонение заявки комиссией Заказчика неправомерным, так как в заявке была предоставлена вся необходимая информация, требуемая извещением о проведении закупки и постановлением № 616, при этом согласно реестру российской промышленной продукции для номера реестровой записи 2316\151\2022 баллы для данной продукции не предусмотрены, соответственно участник закупки в составе заявки представил информация из реестра российской промышленной продукции без указания совокупного количества баллов, поскольку, исходя из сведений, представленных на сайте российской промышленной продукции баллы не предусмотрены.</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свою очередь представитель Заказчика пояснил, что Заявителем в составе заявки предложена к поставке продукция с кодом ОКПД2 31.01.12 «Мебель деревянная для офисов», которая является объектом закупки, при этом постановлением Правительства Российской Федерации от 17 июля 2015 г. №719 предусмотрено требование к минимально возможному количеству баллов по коду ОКПД 2 31.01.11 «Мебель для офисов и предприятий торговли» - не менее 50 баллов, однако в составе заявки Заявителя представлен первичный регистрационный номер реестровой записи из реестра российской промышленной </w:t>
      </w:r>
      <w:r>
        <w:rPr>
          <w:color w:val="000000"/>
          <w:spacing w:val="0"/>
          <w:w w:val="100"/>
          <w:position w:val="0"/>
          <w:shd w:val="clear" w:color="auto" w:fill="auto"/>
          <w:lang w:val="ru-RU" w:eastAsia="ru-RU" w:bidi="ru-RU"/>
        </w:rPr>
        <w:t>продукции №2316\151\2022, согласно которому совокупное количество баллов не установлено.</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по мнению Заказчика, предложенный участником к поставке товар согласно представленному номеру реестровой записи из реестра российской промышленной продукции не достигает необходимого процентного показателя совокупного количества баллов от максимально возможного количества баллов для соответствующей продукции.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следующее.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Постановления Правительства РФ от 17.07.2015 №719 «О подтверждении производства промышленной продукции на территории Российской Федерации» (далее — Постановление №719) подтверждением соответствия товаров (продукции) требованиям, предусмотренным приложение к настоящему постановлению «Требования к промышленной продукции, предъявляемые в целях ее отнесения к продукции, произведенной на территории Российской Федерации» (далее - Требования к промышленной продукции), является акт экспертизы, выдаваемый Торгово-промышленной палатой Российской Федерации в порядке, определенном ею по согласованию с Министерством промышленности и торговли Российской Федерации.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п.52 примечаний Постановления №719 для целей осуществления закупок продукции, включенной в раздел XI настоящего приложения,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предусматривающих в качестве требования наличие реестровой записи реестра российской промышленной продукции, размещаемого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сформированной в соответствии с постановлением Правительства Российской Федерации от 17 июля 2015 г. К 719 «О подтверждении производства российской промышленной продукции" в отношении продукции мебельной и деревоперерабатывающей промышленности, при производстве указанной продукции должны выполняться требования и технологические операции, предусмотренные разделом XI настоящего приложения, обеспечивающие достижение следующего минимально возможного количества баллов в части товарных позиций: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31.01.11 «Мебель металлическая для офисов», 31.03.11.120 «Основы матрасные из металлического каркаса», 31.09.11 «Мебель металлическая, не включенная в другие группировки» - не менее 50 баллов.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п.2 Постановления №610 установлено, что выданные Министерством промышленности и торговли Российской Федерации до даты вступления в силу настоящего постановления заключения о подтверждении производства промышленной продукции на территории Российской Федерации в </w:t>
      </w:r>
      <w:r>
        <w:rPr>
          <w:color w:val="000000"/>
          <w:spacing w:val="0"/>
          <w:w w:val="100"/>
          <w:position w:val="0"/>
          <w:shd w:val="clear" w:color="auto" w:fill="auto"/>
          <w:lang w:val="ru-RU" w:eastAsia="ru-RU" w:bidi="ru-RU"/>
        </w:rPr>
        <w:t>отношении продукции, включенной в разделы II, III, V, VII, XI, XVII приложения к постановлению Правительства РФ от 17.07.2015 №719 «О подтверждении производства промышленной продукции на территории Российской Федерации», действительны до окончания установленного срока их действия (далее — Заключение).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Вышеуказанное положение регламентирует срок действия заключения выданного Министерством промышленности и торговли Российской Федерации в рамках Постановления №719 до окончания его действия.</w:t>
      </w:r>
    </w:p>
    <w:p>
      <w:pPr>
        <w:pStyle w:val="Style5"/>
        <w:keepNext w:val="0"/>
        <w:keepLines w:val="0"/>
        <w:widowControl w:val="0"/>
        <w:shd w:val="clear" w:color="auto" w:fill="auto"/>
        <w:tabs>
          <w:tab w:pos="1186" w:val="left"/>
          <w:tab w:pos="1541" w:val="left"/>
          <w:tab w:pos="3293" w:val="left"/>
          <w:tab w:pos="4906" w:val="left"/>
          <w:tab w:pos="5467" w:val="left"/>
          <w:tab w:pos="7080" w:val="left"/>
          <w:tab w:pos="8765" w:val="left"/>
        </w:tabs>
        <w:bidi w:val="0"/>
        <w:spacing w:before="0" w:after="0"/>
        <w:ind w:left="0" w:right="0" w:firstLine="700"/>
        <w:jc w:val="both"/>
      </w:pPr>
      <w:r>
        <w:rPr>
          <w:color w:val="000000"/>
          <w:spacing w:val="0"/>
          <w:w w:val="100"/>
          <w:position w:val="0"/>
          <w:shd w:val="clear" w:color="auto" w:fill="auto"/>
          <w:lang w:val="ru-RU" w:eastAsia="ru-RU" w:bidi="ru-RU"/>
        </w:rPr>
        <w:t>Вместе с тем в своем письме от 22.02.2024 №КА-17291/07 Минпромторг России указывает следующее: «При этом в соответствии с пунктами 6 и 7 постановления № 616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включаемой в данный реестр на основании заключения о подтверждении производства промышленной продукции на территории Российской Федерации, выдаваемого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(далее соответственно - постановление № 719, Заключение) и содержащего для продукции, в отношении которой установлены требования о совокупном количестве баллов</w:t>
        <w:tab/>
        <w:t>за</w:t>
        <w:tab/>
        <w:t>выполнение</w:t>
        <w:tab/>
        <w:t>(освоение)</w:t>
        <w:tab/>
        <w:t>на</w:t>
        <w:tab/>
        <w:t>территории</w:t>
        <w:tab/>
        <w:t>Российской</w:t>
        <w:tab/>
        <w:t>Федерации</w:t>
      </w:r>
    </w:p>
    <w:p>
      <w:pPr>
        <w:pStyle w:val="Style5"/>
        <w:keepNext w:val="0"/>
        <w:keepLines w:val="0"/>
        <w:widowControl w:val="0"/>
        <w:shd w:val="clear" w:color="auto" w:fill="auto"/>
        <w:tabs>
          <w:tab w:pos="1186" w:val="left"/>
          <w:tab w:pos="1541" w:val="left"/>
          <w:tab w:pos="3293" w:val="left"/>
          <w:tab w:pos="4906" w:val="left"/>
          <w:tab w:pos="5467" w:val="left"/>
          <w:tab w:pos="7080" w:val="left"/>
          <w:tab w:pos="8765" w:val="left"/>
        </w:tabs>
        <w:bidi w:val="0"/>
        <w:spacing w:before="0" w:after="0"/>
        <w:ind w:left="0" w:right="0" w:firstLine="0"/>
        <w:jc w:val="both"/>
      </w:pPr>
      <w:r>
        <w:rPr>
          <w:color w:val="000000"/>
          <w:spacing w:val="0"/>
          <w:w w:val="100"/>
          <w:position w:val="0"/>
          <w:shd w:val="clear" w:color="auto" w:fill="auto"/>
          <w:lang w:val="ru-RU" w:eastAsia="ru-RU" w:bidi="ru-RU"/>
        </w:rPr>
        <w:t>соответствующих операций (условий), информацию о совокупном количестве баллов</w:t>
        <w:tab/>
        <w:t>за</w:t>
        <w:tab/>
        <w:t>выполнение</w:t>
        <w:tab/>
        <w:t>(освоение)</w:t>
        <w:tab/>
        <w:t>на</w:t>
        <w:tab/>
        <w:t>территории</w:t>
        <w:tab/>
        <w:t>Российской</w:t>
        <w:tab/>
        <w:t>Федерации</w:t>
      </w:r>
    </w:p>
    <w:p>
      <w:pPr>
        <w:pStyle w:val="Style5"/>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соответствующих операций (условий).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Отмечаю, что раздел III «Продукция отрасли специального машиностроения» требований к промышленной продукции, предъявляемых в целях ее отнесения к продукции, произведенной на территории Российской Федерации (приложение к постановлению № 719) (далее - Требования), устанавливает в отношении различных видов специализированной техники как требования об осуществлении определенного количества технологических операций при ее производстве, так и требования о совокупном количестве баллов за выполнение (освоение) на территории Российской Федерации соответствующих операций (условий). При этом примечаниями к Требованиям для продукции, в отношении которой постановлением № 719 предусмотрена балльная система оценки уровня локализации, установлено, что для целей осуществления ее закупок в рамках Федерального закона № 44-ФЗ при ее производстве должны выполняться технологические и производственные операции (условия), обеспечивающие достижение установленных процентных показателей от максимально возможного количества баллов для соответствующей продукции.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Таким образом, с даты вступления в силу изменений в постановление № 719, предусматривающих введение балльной системы оценки уровня локализации специализированной техники, Заключения на такую промышленную продукцию, в </w:t>
      </w:r>
      <w:r>
        <w:rPr>
          <w:color w:val="000000"/>
          <w:spacing w:val="0"/>
          <w:w w:val="100"/>
          <w:position w:val="0"/>
          <w:shd w:val="clear" w:color="auto" w:fill="auto"/>
          <w:lang w:val="ru-RU" w:eastAsia="ru-RU" w:bidi="ru-RU"/>
        </w:rPr>
        <w:t>которых отсутствует информация о совокупном количестве баллов за выполнение (освоение) на территории Российской Федерации соответствующих операций (условий), не могут быть использованы для подтверждения производства промышленной продукции на территории Российской Федерации в целях применения постановления № 616».</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пп.3 п.10 Постановления Правительства РФ от 30.04.2020 № 616, 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на основании вышеуказанных сведений, представленные в составе заявки реестровые записи из реестра промышленной продукции не подтверждают страну происхождения предлагаемого к поставке товара в рамках действия Постановления №616.</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7"/>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7"/>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keepNext w:val="0"/>
        <w:keepLines w:val="0"/>
        <w:widowControl w:val="0"/>
        <w:numPr>
          <w:ilvl w:val="0"/>
          <w:numId w:val="7"/>
        </w:numPr>
        <w:shd w:val="clear" w:color="auto" w:fill="auto"/>
        <w:tabs>
          <w:tab w:pos="1070"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keepNext w:val="0"/>
        <w:keepLines w:val="0"/>
        <w:widowControl w:val="0"/>
        <w:numPr>
          <w:ilvl w:val="0"/>
          <w:numId w:val="7"/>
        </w:numPr>
        <w:shd w:val="clear" w:color="auto" w:fill="auto"/>
        <w:tabs>
          <w:tab w:pos="179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w:t>
      </w:r>
    </w:p>
    <w:p>
      <w:pPr>
        <w:pStyle w:val="Style5"/>
        <w:keepNext w:val="0"/>
        <w:keepLines w:val="0"/>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7"/>
        </w:numPr>
        <w:shd w:val="clear" w:color="auto" w:fill="auto"/>
        <w:tabs>
          <w:tab w:pos="1122"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7"/>
        </w:numPr>
        <w:shd w:val="clear" w:color="auto" w:fill="auto"/>
        <w:tabs>
          <w:tab w:pos="1790"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5"/>
        <w:keepNext w:val="0"/>
        <w:keepLines w:val="0"/>
        <w:widowControl w:val="0"/>
        <w:numPr>
          <w:ilvl w:val="0"/>
          <w:numId w:val="7"/>
        </w:numPr>
        <w:shd w:val="clear" w:color="auto" w:fill="auto"/>
        <w:tabs>
          <w:tab w:pos="1122" w:val="left"/>
        </w:tabs>
        <w:bidi w:val="0"/>
        <w:spacing w:before="0" w:after="0" w:line="254"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7"/>
        </w:numPr>
        <w:shd w:val="clear" w:color="auto" w:fill="auto"/>
        <w:tabs>
          <w:tab w:pos="1122" w:val="left"/>
        </w:tabs>
        <w:bidi w:val="0"/>
        <w:spacing w:before="0" w:after="0" w:line="254"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5"/>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решение комиссии Заказчика в части отклонения заявки Заявителя является правомерным.</w:t>
      </w:r>
    </w:p>
    <w:p>
      <w:pPr>
        <w:pStyle w:val="Style5"/>
        <w:keepNext w:val="0"/>
        <w:keepLines w:val="0"/>
        <w:widowControl w:val="0"/>
        <w:shd w:val="clear" w:color="auto" w:fill="auto"/>
        <w:bidi w:val="0"/>
        <w:spacing w:before="0" w:after="0" w:line="254" w:lineRule="auto"/>
        <w:ind w:left="0" w:right="0" w:firstLine="720"/>
        <w:jc w:val="both"/>
        <w:sectPr>
          <w:headerReference w:type="default" r:id="rId6"/>
          <w:footerReference w:type="default" r:id="rId7"/>
          <w:footnotePr>
            <w:pos w:val="pageBottom"/>
            <w:numFmt w:val="decimal"/>
            <w:numRestart w:val="continuous"/>
          </w:footnotePr>
          <w:pgSz w:w="11900" w:h="16840"/>
          <w:pgMar w:top="1162" w:right="534" w:bottom="1426" w:left="1089"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1. Признать жалобу ООО «Сабрэкс» на действия ГКУ Дирекция ДОНМ необоснованной.</w:t>
      </w:r>
    </w:p>
    <w:p>
      <w:pPr>
        <w:pStyle w:val="Style5"/>
        <w:keepNext w:val="0"/>
        <w:keepLines w:val="0"/>
        <w:widowControl w:val="0"/>
        <w:shd w:val="clear" w:color="auto" w:fill="auto"/>
        <w:bidi w:val="0"/>
        <w:spacing w:before="0" w:after="300" w:line="257" w:lineRule="auto"/>
        <w:ind w:left="0" w:right="0" w:firstLine="70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4364" w:left="1106" w:header="0" w:footer="3" w:gutter="0"/>
          <w:cols w:space="720"/>
          <w:noEndnote/>
          <w:rtlGutter w:val="0"/>
          <w:docGrid w:linePitch="360"/>
        </w:sectPr>
      </w:pPr>
      <w:r>
        <mc:AlternateContent>
          <mc:Choice Requires="wps">
            <w:drawing>
              <wp:anchor distT="139700" distB="203835" distL="0" distR="0" simplePos="0" relativeHeight="125829382" behindDoc="0" locked="0" layoutInCell="1" allowOverlap="1">
                <wp:simplePos x="0" y="0"/>
                <wp:positionH relativeFrom="page">
                  <wp:posOffset>735965</wp:posOffset>
                </wp:positionH>
                <wp:positionV relativeFrom="paragraph">
                  <wp:posOffset>139700</wp:posOffset>
                </wp:positionV>
                <wp:extent cx="1850390" cy="250190"/>
                <wp:wrapTopAndBottom/>
                <wp:docPr id="11" name="Shape 11"/>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950000000000003pt;margin-top:11.pt;width:145.70000000000002pt;height:19.699999999999999pt;z-index:-125829371;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7210" simplePos="0" relativeHeight="125829384" behindDoc="0" locked="0" layoutInCell="1" allowOverlap="1">
            <wp:simplePos x="0" y="0"/>
            <wp:positionH relativeFrom="page">
              <wp:posOffset>3131820</wp:posOffset>
            </wp:positionH>
            <wp:positionV relativeFrom="paragraph">
              <wp:posOffset>231140</wp:posOffset>
            </wp:positionV>
            <wp:extent cx="311150" cy="36576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8"/>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300990</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77.55000000000001pt;margin-top:23.699999999999999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3835" distL="0" distR="0" simplePos="0" relativeHeight="125829385" behindDoc="0" locked="0" layoutInCell="1" allowOverlap="1">
                <wp:simplePos x="0" y="0"/>
                <wp:positionH relativeFrom="page">
                  <wp:posOffset>6185535</wp:posOffset>
                </wp:positionH>
                <wp:positionV relativeFrom="paragraph">
                  <wp:posOffset>139700</wp:posOffset>
                </wp:positionV>
                <wp:extent cx="1029970" cy="250190"/>
                <wp:wrapTopAndBottom/>
                <wp:docPr id="17" name="Shape 17"/>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3" type="#_x0000_t202" style="position:absolute;margin-left:487.05000000000001pt;margin-top:11.pt;width:81.100000000000009pt;height:19.699999999999999pt;z-index:-125829368;mso-wrap-distance-left:0;mso-wrap-distance-top:11.pt;mso-wrap-distance-right:0;mso-wrap-distance-bottom:16.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E8E8E8"/>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КАЗАРИН СЕРГЕЙ ИГОРЕВИЧ</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000590946031СЕ073ВЕ5С506ЕЕ7501 0760</w:t>
      </w:r>
    </w:p>
    <w:p>
      <w:pPr>
        <w:pStyle w:val="Style24"/>
        <w:keepNext w:val="0"/>
        <w:keepLines w:val="0"/>
        <w:widowControl w:val="0"/>
        <w:shd w:val="clear" w:color="auto" w:fill="auto"/>
        <w:bidi w:val="0"/>
        <w:spacing w:before="0" w:after="58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636363"/>
          <w:spacing w:val="0"/>
          <w:w w:val="100"/>
          <w:position w:val="0"/>
          <w:shd w:val="clear" w:color="auto" w:fill="auto"/>
          <w:lang w:val="ru-RU" w:eastAsia="ru-RU" w:bidi="ru-RU"/>
        </w:rPr>
        <w:t>05.06.2025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0" w:right="0" w:firstLine="880"/>
        <w:jc w:val="left"/>
      </w:pPr>
      <w:r>
        <w:drawing>
          <wp:anchor distT="0" distB="0" distL="114300" distR="1921510" simplePos="0" relativeHeight="125829387" behindDoc="0" locked="0" layoutInCell="1" allowOverlap="1">
            <wp:simplePos x="0" y="0"/>
            <wp:positionH relativeFrom="page">
              <wp:posOffset>3131820</wp:posOffset>
            </wp:positionH>
            <wp:positionV relativeFrom="paragraph">
              <wp:posOffset>76200</wp:posOffset>
            </wp:positionV>
            <wp:extent cx="311150" cy="36576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3524885</wp:posOffset>
                </wp:positionH>
                <wp:positionV relativeFrom="paragraph">
                  <wp:posOffset>149225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7.55000000000001pt;margin-top:11.75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Е.Д. Мартьянова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8E8E8"/>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Мартьянова Елена Дмитриевна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0092302А1Е2Е82694604ЕЕЕ7722Э2557ЕЕ</w:t>
      </w:r>
    </w:p>
    <w:p>
      <w:pPr>
        <w:pStyle w:val="Style24"/>
        <w:keepNext w:val="0"/>
        <w:keepLines w:val="0"/>
        <w:widowControl w:val="0"/>
        <w:shd w:val="clear" w:color="auto" w:fill="auto"/>
        <w:bidi w:val="0"/>
        <w:spacing w:before="0" w:after="58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05.12.2023 </w:t>
      </w:r>
      <w:r>
        <w:rPr>
          <w:color w:val="636363"/>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27.02.2025</w:t>
      </w:r>
    </w:p>
    <w:p>
      <w:pPr>
        <w:pStyle w:val="Style5"/>
        <w:keepNext w:val="0"/>
        <w:keepLines w:val="0"/>
        <w:widowControl w:val="0"/>
        <w:shd w:val="clear" w:color="auto" w:fill="auto"/>
        <w:bidi w:val="0"/>
        <w:spacing w:before="0" w:after="390" w:line="240" w:lineRule="auto"/>
        <w:ind w:left="1280" w:right="0" w:firstLine="0"/>
        <w:jc w:val="left"/>
      </w:pPr>
      <w:r>
        <w:drawing>
          <wp:anchor distT="0" distB="0" distL="114300" distR="1903730" simplePos="0" relativeHeight="125829388" behindDoc="0" locked="0" layoutInCell="1" allowOverlap="1">
            <wp:simplePos x="0" y="0"/>
            <wp:positionH relativeFrom="page">
              <wp:posOffset>3107055</wp:posOffset>
            </wp:positionH>
            <wp:positionV relativeFrom="paragraph">
              <wp:posOffset>63500</wp:posOffset>
            </wp:positionV>
            <wp:extent cx="353695" cy="40259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2"/>
                    <a:stretch/>
                  </pic:blipFill>
                  <pic:spPr>
                    <a:xfrm>
                      <a:ext cx="353695"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154940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55000000000001pt;margin-top:12.20000000000000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О.А. Челнова</w:t>
      </w:r>
    </w:p>
    <w:p>
      <w:pPr>
        <w:pStyle w:val="Style21"/>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636363"/>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Челнова Олеся Антоновна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36363"/>
          <w:spacing w:val="0"/>
          <w:w w:val="100"/>
          <w:position w:val="0"/>
          <w:shd w:val="clear" w:color="auto" w:fill="auto"/>
          <w:lang w:val="ru-RU" w:eastAsia="ru-RU" w:bidi="ru-RU"/>
        </w:rPr>
        <w:t>218С2Е703Р7Е88445А841</w:t>
      </w:r>
      <w:r>
        <w:rPr>
          <w:spacing w:val="0"/>
          <w:w w:val="100"/>
          <w:position w:val="0"/>
          <w:shd w:val="clear" w:color="auto" w:fill="auto"/>
          <w:lang w:val="ru-RU" w:eastAsia="ru-RU" w:bidi="ru-RU"/>
        </w:rPr>
        <w:t>АСЕ73Е4Э187</w:t>
      </w:r>
    </w:p>
    <w:p>
      <w:pPr>
        <w:pStyle w:val="Style24"/>
        <w:keepNext w:val="0"/>
        <w:keepLines w:val="0"/>
        <w:widowControl w:val="0"/>
        <w:shd w:val="clear" w:color="auto" w:fill="auto"/>
        <w:bidi w:val="0"/>
        <w:spacing w:before="0" w:after="108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10.04.2024 по </w:t>
      </w:r>
      <w:r>
        <w:rPr>
          <w:color w:val="636363"/>
          <w:spacing w:val="0"/>
          <w:w w:val="100"/>
          <w:position w:val="0"/>
          <w:shd w:val="clear" w:color="auto" w:fill="auto"/>
          <w:lang w:val="ru-RU" w:eastAsia="ru-RU" w:bidi="ru-RU"/>
        </w:rPr>
        <w:t>04.07.2025</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Исп.Челнова О.А. тел.(495) 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10217150</wp:posOffset>
              </wp:positionV>
              <wp:extent cx="719455" cy="100330"/>
              <wp:wrapNone/>
              <wp:docPr id="1" name="Shape 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2024-45695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804.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2024-45695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731520</wp:posOffset>
              </wp:positionH>
              <wp:positionV relativeFrom="page">
                <wp:posOffset>9982835</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2024-45695</w:t>
                          </w:r>
                        </w:p>
                      </w:txbxContent>
                    </wps:txbx>
                    <wps:bodyPr wrap="none" lIns="0" tIns="0" rIns="0" bIns="0">
                      <a:spAutoFit/>
                    </wps:bodyPr>
                  </wps:wsp>
                </a:graphicData>
              </a:graphic>
            </wp:anchor>
          </w:drawing>
        </mc:Choice>
        <mc:Fallback>
          <w:pict>
            <v:shape id="_x0000_s1035" type="#_x0000_t202" style="position:absolute;margin-left:57.600000000000001pt;margin-top:786.05000000000007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2024-45695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3901440</wp:posOffset>
              </wp:positionH>
              <wp:positionV relativeFrom="page">
                <wp:posOffset>476250</wp:posOffset>
              </wp:positionV>
              <wp:extent cx="128270" cy="103505"/>
              <wp:wrapNone/>
              <wp:docPr id="7" name="Shape 7"/>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7.19999999999999pt;margin-top:37.5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B2B2B"/>
      <w:sz w:val="12"/>
      <w:szCs w:val="12"/>
      <w:u w:val="none"/>
    </w:rPr>
  </w:style>
  <w:style w:type="character" w:customStyle="1" w:styleId="CharStyle22">
    <w:name w:val="Основной текст (4)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2B2B2B"/>
      <w:sz w:val="12"/>
      <w:szCs w:val="12"/>
      <w:u w:val="none"/>
    </w:rPr>
  </w:style>
  <w:style w:type="character" w:customStyle="1" w:styleId="CharStyle30">
    <w:name w:val="Основной текст (5)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B2B2B"/>
      <w:sz w:val="12"/>
      <w:szCs w:val="12"/>
      <w:u w:val="none"/>
    </w:rPr>
  </w:style>
  <w:style w:type="paragraph" w:customStyle="1" w:styleId="Style21">
    <w:name w:val="Основной текст (4)"/>
    <w:basedOn w:val="Normal"/>
    <w:link w:val="CharStyle22"/>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4">
    <w:name w:val="Основной текст (2)"/>
    <w:basedOn w:val="Normal"/>
    <w:link w:val="CharStyle25"/>
    <w:pPr>
      <w:widowControl w:val="0"/>
      <w:shd w:val="clear" w:color="auto" w:fill="auto"/>
      <w:ind w:left="3820"/>
    </w:pPr>
    <w:rPr>
      <w:rFonts w:ascii="Arial" w:eastAsia="Arial" w:hAnsi="Arial" w:cs="Arial"/>
      <w:b w:val="0"/>
      <w:bCs w:val="0"/>
      <w:i w:val="0"/>
      <w:iCs w:val="0"/>
      <w:smallCaps w:val="0"/>
      <w:strike w:val="0"/>
      <w:color w:val="2B2B2B"/>
      <w:sz w:val="12"/>
      <w:szCs w:val="12"/>
      <w:u w:val="none"/>
    </w:rPr>
  </w:style>
  <w:style w:type="paragraph" w:customStyle="1" w:styleId="Style29">
    <w:name w:val="Основной текст (5)"/>
    <w:basedOn w:val="Normal"/>
    <w:link w:val="CharStyle30"/>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