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1о777г1ак.цоу.ги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27.09.2024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39951/24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ЦЭМИ РАН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кгаип05@тай.ги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«КАВКАЗЭЛЕКТРОСЕРВИС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ПЛЮС»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99" w:bottom="712" w:left="1265" w:header="0" w:footer="3" w:gutter="0"/>
          <w:cols w:num="2" w:space="720" w:equalWidth="0">
            <w:col w:w="3835" w:space="1306"/>
            <w:col w:w="429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ке§2Кек@тай.ги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8" w:right="0" w:bottom="8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№077/06/106-12850/2024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О.А.Челновой,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ЦЭМИ РАН: И.Г. Промтова (по доверенности №10 от 23.09.2024), А.Р. Бахтизина (слушатель),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«КАВКАЗЭЛЕКТРОСЕРВИС ПЛЮС»: А.В. Ветрюк (по доверенности №1 от 01.08.2024),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«КАВКАЗЭЛЕКТРОСЕРВИС ПЛЮС» (далее — Заявитель) на действия ЦЭМИ РАН (далее — Заказчик) при проведении открытого конкурса в электронной форме на право заключения государственного контракта на выполнение работ по замене системы оповещения и управления эвакуацией в Федеральном государственном учреждении науки Центральный экономико</w:t>
        <w:softHyphen/>
        <w:t xml:space="preserve">математический институт Российской академии наук по адресу: г. Москва, Нахимовский проспект, 47 (Закупка №0373100009124000006) (далее — открытый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8638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открытого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рассмотрены документы и сведения, запрашиваемые посредством Единой информационной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в единой информационной системе в составе извещения о проведении закупки Заказчиком не опубликована проектная документация на монтаж автоматической пожарной сигнализации и системы оповещения о пожаре, при этом ответственность за соблюдение требований пожарной безопасности при проектировании, монтаже и техническом обслуживании систем пожарной сигнализации (СПС) и систем оповещения и управления эвакуацией людей при пожаре (СОУЭ) несут руководитель объекта, лицо осуществлявшее проектирование и лицо, осуществлявшее монтаж и последующее техническое обслуживание СПС и СОУЭ.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доводу жалобы в соответствии с п.5.2.1 ГОСТ Р 59639</w:t>
        <w:softHyphen/>
        <w:t>2021 готовность к проведению работ по монтажу технических средств СОУЭ определяют в сроки, предусмотренные договором. При этом проектная (рабочая) документация должна быть принята заказчиком и изучена исполнителем.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26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8" w:right="539" w:bottom="830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8" w:right="539" w:bottom="830" w:left="1103" w:header="0" w:footer="40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п.8 ч.1 ст.33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ч.16 и 16.1 ст.34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п.8 ч.1 ст.33 Закона о контрактной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2024-45078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является надлежащим исполнением требований пп.1-3 ч.1 ст.33 Закона о контрактной системе, ч.2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открытого конкурса в электронной форме от 09.09.2024 №0373100009124000006 объектом закупки является выполнение работ по замене системы оповещения и управления эвакуацией в Федеральном государственном учреждении науки Центральный экономико-математический институт Российской академии наук по адресу: г. Москва, Нахимовский проспект, 47, содержащие локально-сметный расчет, в котором содержится полный объем выполняемых работ, используемых оборудования и материалов, таблицы с описанием видов работ и описанием основных используемых материалов и оборудования. Также в п.4 описания объекта закупки указано, что работы выполняются в полном соответствии с настоящим Техническим заданием (Приложение №1 к Контракту) и Локальной сметой (Приложение №2 к Контракту).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ч.12.2 ст.48 Градостроительного кодекса Российской Федерации (далее - Грк РФ)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Грк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В случае, предусмотренном частью 10 статьи 52 Грк РФ, при составлении указанной сметы подготовка такого акта не требуется.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ч.12.2 ст.48 Грк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ведомости объемов работ, которая входит в Техническое задание, работы по монтажу и пусконаладке СОУЭ производятся обособленно, то есть отдельно от других видов работ капитального характера. Работы строительно-монтажного характера в рамках контракта не предусмотрены, ввиду чего Заказчик не обязан размещать проектную документацию согласно п. 8 ч. 1 ст.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Заказчиком предусматривается только замена имеющегося 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Кроме того, представитель Заказчика также отметил, что в составе извещения также размещена графическая составляющая объекта закупочной процедуры, что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2024-45078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позволяет определить объемы выполняемых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нарушении Заказчиком норм Закона о контрактной системе при составлении и размещении извещения об осуществлении закупки, также не представлены доказательства невозможности формирования и подачи заявки,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«КАВКАЗЭЛЕКТРОСЕРВИС ПЛЮС» на действия ЦЭМИ РАН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8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356870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469900</wp:posOffset>
                </wp:positionV>
                <wp:extent cx="185039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37.pt;width:145.70000000000002pt;height:19.900000000000002pt;z-index:-125829374;mso-wrap-distance-left:0;mso-wrap-distance-top:3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09270" distB="0" distL="0" distR="1789430" simplePos="0" relativeHeight="125829381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509270</wp:posOffset>
            </wp:positionV>
            <wp:extent cx="389890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944880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74.400000000000006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634365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49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356870" distL="0" distR="0" simplePos="0" relativeHeight="125829382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469900</wp:posOffset>
                </wp:positionV>
                <wp:extent cx="102997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7.05000000000001pt;margin-top:37.pt;width:81.100000000000009pt;height:19.900000000000002pt;z-index:-125829371;mso-wrap-distance-left:0;mso-wrap-distance-top:3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526ССЭ2Е48634А0964757620Е6ЕОАЕ90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10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218С2Е7ОЗР7Е88445А841АСЕ73Е4Э187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10165715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800.45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10165715</wp:posOffset>
              </wp:positionV>
              <wp:extent cx="7226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2024-45078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800.45000000000005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2024-45078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37.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391160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0000000000001pt;margin-top:30.800000000000001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1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Relationship Id="rId23" Type="http://schemas.openxmlformats.org/officeDocument/2006/relationships/image" Target="media/image6.jpeg"/><Relationship Id="rId24" Type="http://schemas.openxmlformats.org/officeDocument/2006/relationships/image" Target="media/image6.jpeg" TargetMode="External"/></Relationships>
</file>