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767840" cy="10668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7840" cy="1066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ГБУЗ «ГВВ № 2 ДЗМ» нта.дму2@тай.ги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«ЛДЦ» т&amp;@Мс-8тг.ги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39.20000000000002pt;height:84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ГБУЗ «ГВВ № 2 ДЗМ» нта.дму2@тай.ги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«ЛДЦ» т&amp;@Мс-8тг.ги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80"/>
        <w:jc w:val="left"/>
        <w:rPr>
          <w:sz w:val="19"/>
          <w:szCs w:val="19"/>
        </w:rPr>
      </w:pPr>
      <w:r>
        <w:rPr>
          <w:b/>
          <w:bCs/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20" w:right="0" w:firstLine="0"/>
        <w:jc w:val="left"/>
        <w:rPr>
          <w:sz w:val="19"/>
          <w:szCs w:val="19"/>
        </w:rPr>
      </w:pPr>
      <w:r>
        <w:rPr>
          <w:b/>
          <w:bCs/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left"/>
        <w:rPr>
          <w:sz w:val="19"/>
          <w:szCs w:val="19"/>
        </w:rPr>
      </w:pPr>
      <w:r>
        <w:rPr>
          <w:b/>
          <w:bCs/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color w:val="45609C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003" w:val="left"/>
        </w:tabs>
        <w:bidi w:val="0"/>
        <w:spacing w:before="0" w:after="320" w:line="240" w:lineRule="auto"/>
        <w:ind w:left="0" w:right="0" w:firstLine="160"/>
        <w:jc w:val="left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39952/24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18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№077/06/106-12851/2024 о нарушении 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 ГБУЗ «ГВВ № 2 ДЗМ»: А.В. Романова (по доверенности №б/н от 29.01.2024),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«ЛДЦ»,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«ЛДЦ» (далее — Заявитель) на действия ГБУЗ «ГВВ № 2 ДЗМ» (далее — Заказчик) при проведении электронного аукциона на право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заключения государственного контракта на поставку одноразовых средств защиты персонала отделений ГБУЗ «ГВВ № 2 ДЗМ» в 2024 году (7) (Закупка №0373200015024000504) (далее -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320"/>
        <w:jc w:val="left"/>
        <w:rPr>
          <w:sz w:val="34"/>
          <w:szCs w:val="3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21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своей жалобы Заявитель также указывает на неправомерные действия Заказчика, выразившиеся в установлении неправомерного требования к конкретному классу потенциального риска закупаемых изделий.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42" w:bottom="750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установленных пп. «а», «б» п.5 Правил использования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использования КТРУ установлено, что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указываются с использованием единой информационной системы при формировании извещения об осуществлении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извещения об осуществлении закупки установлены следующие требования к закупаемым товарам, в том числе по п.1-4 «Перчатки смотровые/процедурные нитриловые, неопудренные, нестерильные» с позицией КТРУ 22.19.60.119</w:t>
        <w:softHyphen/>
        <w:t>00000008: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«Класс потенциального риска применения медицинского изделия: 2А - Значение характеристики не может изменяться участником закупки».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 мнению Заявителя, класс потенциального риска медицинского изделия не является терапевтически или диагностически значимой характеристикой, а включение в описании объекта закупки требований о соответствии медицинских изделий определенному классу потенциального риска применения может привести к сокращению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Заказчика, не согласившись с данным доводом жалобы пояснил, что необходимость использования смотровых перчаток с определенным классом риска обусловлена риском и особенностями отдельных выполняемых манипуляций, при этом требование к использованию медицинских изделий (в т.ч. медицинских смотровых перчаток) с классом потенциального риска регламентировано правилами и требованиями ГОСТ 31508</w:t>
        <w:softHyphen/>
        <w:t>2012 «Межгосударственный стандарт. Изделия медицинские. Классификация в зависимости от потенциального риска применения. Общие требования» (далее — ГОСТ 31508-2012).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  <w:rPr>
          <w:sz w:val="20"/>
          <w:szCs w:val="20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Заказчик отмечает, что подобное требование к конкретному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2024-45115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классу риска закупаемых медицинских изделий не влияет на возможность формирования предложения потенциального участника закупки, поскольку на рынке широко представлены перчатки как с классом потенциального риска 2А.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отметил, что совокупности требований извещения соответствуют изделия множества разных производителей, так, например, соответствуют следующие изделия: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изделие «Перчатки диагностические медицинские нитриловые неопудренные нестерильные одноразовые по ТУ 22.19.60-006-46527899-2022», производства ООО «АСВ ФАРМАЦИЯ», Россия (регистрационное удостоверение №РЗН 2023/21284 от 03.10.2023);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изделие «Перчатки диагностические нитриловые ГМОТОиСН®, нестерильные», производства ООО «Интелмед», Россия (регистрационное удостоверение №РЗН 2024/22697 от 27.05.2024);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согласно п.4.1. ГОСТ 31508-2012 все медицинские изделия (далее — МИ) подразделяют в зависимости от степени потенциального риска их применения в медицинских целях на четыре класса. Согласно раздела 5 «Правила классификации медицинских изделий»вышеуказанного ГОСТа: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Правило 1- Неинвазивные МИ относят к классу 1, если только не применяют одно из нижеследующих правил.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Правило 2 - Неинвазивные МИ, предназначенные для хранения органов, частей органов или хранения или введения в организм пациента крови, других жидкостей, газов, паров или тканей, относят к классу 2а, в том числе если их используют с активным МИ класса 2а или более высокого класса.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Правило 3 - Неинвазивные МИ для изменения биологического или физикохимического состава и свойств крови, других физиологических жидкостей или жидкостей, которые должны поступать в организм, относят к классу 2б. Однако если их действие заключается только в фильтрации, обработке на центрифуге или газо- или теплообмене, то указанные МИ относят к классу 2а.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Правило 4 - Неинвазивные МИ, которые соприкасаются с поврежденной кожей: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относят к классу 1, если их используют как механические барьеры или для компрессии;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относят к классу 26, если их используют для ран, которые можно залечить только посредством вторичного заживления;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всех иных случаях относят к классу 2а, к ним также относят МИ, которые предназначены преимущественно для воздействия на микросреду ран.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Речь идет в первую очередь о манипуляциях, связанных с риском заражения и инфицирования персонала. И это не только барьерная защита кожи рук персонала, но, в том числе, активное взаимодействие с инфицированной и зараженной средами, которое обусловлено повышенной частотой возникновения опасности, а также усиления степени тяжести состояния от причиненного вреда как пациенту, так и персоналу.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Заказчик, устанавливая конкретные требования к перчаткам, не нарушает требования ГОСТ. Данное требование является функциональной характеристикой товара, являющейся значимой для реализации потребности Заказчика.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Заявителем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чего, при таких обстоятельствах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«ЛДЦ» на действия ГБУЗ «ГВВ № 2 ДЗМ»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792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65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139700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1.pt;width:145.70000000000002pt;height:19.900000000000002pt;z-index:-125829372;mso-wrap-distance-left:0;mso-wrap-distance-top:11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94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212725</wp:posOffset>
            </wp:positionV>
            <wp:extent cx="353695" cy="3962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35000000000002pt;margin-top:23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6535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139700</wp:posOffset>
                </wp:positionV>
                <wp:extent cx="10299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85000000000002pt;margin-top:11.pt;width:81.100000000000009pt;height:19.900000000000002pt;z-index:-125829369;mso-wrap-distance-left:0;mso-wrap-distance-top:11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КАЗАРИН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СЕРГЕЙ ИГОРЕВИЧ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00Э590946Э31СЕ073ВЕ5С5Э6ЕЕ7501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0760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12.03.2024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1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635" distL="0" distR="0" simplePos="0" relativeHeight="1258293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161290</wp:posOffset>
                </wp:positionV>
                <wp:extent cx="1725295" cy="25590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12.700000000000001pt;width:135.84999999999999pt;height:20.150000000000002pt;z-index:-125829367;mso-wrap-distance-left:0;mso-wrap-distance-top:12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8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0</wp:posOffset>
                </wp:positionV>
                <wp:extent cx="1307465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5.05000000000001pt;margin-top:0;width:102.95pt;height:19.699999999999999pt;z-index:-125829365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12.03.2024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1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3865" distB="0" distL="0" distR="0" simplePos="0" relativeHeight="1258293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443865</wp:posOffset>
                </wp:positionV>
                <wp:extent cx="1725295" cy="2559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34.950000000000003pt;width:135.84999999999999pt;height:20.150000000000002pt;z-index:-125829363;mso-wrap-distance-left:0;mso-wrap-distance-top:34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2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279400</wp:posOffset>
                </wp:positionV>
                <wp:extent cx="1048385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5.90000000000003pt;margin-top:22.pt;width:82.549999999999997pt;height:19.900000000000002pt;z-index:-125829361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О.А. Челнова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О </w: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Челнова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Олеся Антоновна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218С2Е7ОЗЕ7Е88445А841АСЕ73Е4Э187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10.04.2024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04.07.2025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2024-45115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2024-45115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10458450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2024-45115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823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2024-45115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10458450</wp:posOffset>
              </wp:positionV>
              <wp:extent cx="71628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2024-45115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823.5pt;width:56.3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2024-45115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Друго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Другое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image" Target="media/image2.jpeg"/><Relationship Id="rId15" Type="http://schemas.openxmlformats.org/officeDocument/2006/relationships/image" Target="media/image2.jpeg" TargetMode="External"/></Relationships>
</file>