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337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9" w:line="1" w:lineRule="exact"/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  <w:bookmarkEnd w:id="0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  <w:bookmarkEnd w:id="3"/>
    </w:p>
    <w:p>
      <w:pPr>
        <w:pStyle w:val="Style5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Вологодской области</w:t>
      </w:r>
      <w:bookmarkEnd w:id="5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43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160035, г. Вологда, ул. Пушкинская, 25, тел. (8172) 72-99-70, факс (8172) 72-46-64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3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</w:t>
      </w:r>
      <w:r>
        <w:fldChar w:fldCharType="begin"/>
      </w:r>
      <w:r>
        <w:rPr/>
        <w:instrText> HYPERLINK "mailto:to35@fas.gov.ru"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1о35@|а8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ru-RU" w:eastAsia="ru-RU" w:bidi="ru-RU"/>
        </w:rPr>
        <w:t>1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доу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ru-RU" w:eastAsia="ru-RU" w:bidi="ru-RU"/>
        </w:rPr>
        <w:t>1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ги</w:t>
      </w:r>
      <w:r>
        <w:fldChar w:fldCharType="end"/>
      </w:r>
    </w:p>
    <w:tbl>
      <w:tblPr>
        <w:tblOverlap w:val="never"/>
        <w:jc w:val="center"/>
        <w:tblLayout w:type="fixed"/>
      </w:tblPr>
      <w:tblGrid>
        <w:gridCol w:w="3533"/>
        <w:gridCol w:w="6514"/>
      </w:tblGrid>
      <w:tr>
        <w:trPr>
          <w:trHeight w:val="4430" w:hRule="exact"/>
        </w:trPr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fldChar w:fldCharType="begin"/>
            </w:r>
            <w:r>
              <w:rPr/>
              <w:instrText> HYPERLINK "http://vologda.fas.gov.ru/" </w:instrText>
            </w:r>
            <w:r>
              <w:fldChar w:fldCharType="separate"/>
            </w:r>
            <w:r>
              <w:rPr>
                <w:color w:val="0000FF"/>
                <w:spacing w:val="0"/>
                <w:w w:val="100"/>
                <w:position w:val="0"/>
                <w:sz w:val="24"/>
                <w:szCs w:val="24"/>
                <w:u w:val="single"/>
                <w:shd w:val="clear" w:color="auto" w:fill="auto"/>
                <w:lang w:val="ru-RU" w:eastAsia="ru-RU" w:bidi="ru-RU"/>
              </w:rPr>
              <w:t>Ь^^р://Vо1одда.Га8.доV.^и</w:t>
            </w:r>
            <w:r>
              <w:fldChar w:fldCharType="end"/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718" w:val="left"/>
              </w:tabs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Г</w:t>
              <w:tab/>
              <w:t>1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17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Заявитель: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Индивидуальный предприниматель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1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Чащин С.А.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Уполномоченное учреждение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1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МКУ «Централизованная бухгалтерия, обслуживающая муниципальные учреждения города Вологды»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Заказчик: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1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МКУ «Центр цифрового развития города Вологды»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Оператор электронной площадки: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РТС-тендер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1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1111р:/Д\л\л\-.г18-1епс1ег.ги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Е Н И Е № 035/06/23-761/2024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635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24.09.2024</w:t>
        <w:tab/>
        <w:t>г. Вологда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199" w:val="left"/>
          <w:tab w:pos="4014" w:val="left"/>
          <w:tab w:pos="5938" w:val="left"/>
          <w:tab w:pos="8353" w:val="left"/>
          <w:tab w:pos="9716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</w:t>
        <w:tab/>
        <w:t>Управления</w:t>
        <w:tab/>
        <w:t>Федеральной</w:t>
        <w:tab/>
        <w:t>антимонопольной</w:t>
        <w:tab/>
        <w:t>службы</w:t>
        <w:tab/>
        <w:t>по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Вологодской области (далее - Комиссия УФАС) в утвержденном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Сучков О.Н. - временно исполняющий обязанности руководителя Управления Федеральной антимонопольной службы по Вологодской области, председатель Комиссии УФАС;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начальник отдела контроля органов власти и закупок Управления Федеральной антимонопольной службы по Вологодской области, член Комиссии УФАС;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Косоногова Е.А. - старший специалист 1 разряда отдела контроля органов власти и закупок Управления Федеральной антимонопольной службы по Вологодской области, член Комиссии УФАС,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6421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индивидуального предпринимателя Чащина С.А. (далее - Заявитель) на положения извещения об электронном аукционе №</w:t>
        <w:tab/>
        <w:t>0330300051224000189 «Поставка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кондиционеров» (далее - закупка, аукцион), на действия Уполномоченного учреждения (МКУ «Централизованная бухгалтерия, обслуживающая муниципальные учреждения города Вологды») и Заказчика (МКУ «Центр цифрового развития города Вологды»),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присутствии Заявителя, представителей Уполномоченного учреждения и Заказчика,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17.09.2024 жалоба Заявителя размещена в Единой информационной системе в сфере закупок </w:t>
      </w:r>
      <w:r>
        <w:fldChar w:fldCharType="begin"/>
      </w:r>
      <w:r>
        <w:rPr/>
        <w:instrText> HYPERLINK "https://zakupki.gov.ru/"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(Ьйр8://xакирк^.доV.^и,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далее - ЕИС) и зарегистрирована (вх. № 5466-ЭП/24 от 17.09.2024) в Управлении Федеральной антимонопольной службы по Вологодской области (далее - УФАС).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 1 ч. 2 ст.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№ 44-ФЗ, Закон о контрактной системе) жалоба на положения извещения об осуществлении закупки, документации о закупке (в случае, если Законом № 44-ФЗ предусмотрена документация о закупке) может быть подана до окончания срока подачи заявок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о закупке дата и время окончания срока подачи заявок 18.09.2024 07:00 (мск).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750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жалоба Заявителя подана в установленный срок и принята УФАС к рассмотрению в порядке, предусмотренном ст.ст. 99, 105, 106 Закона № 44-ФЗ,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(далее - Правила №</w:t>
        <w:tab/>
        <w:t>1576), утвержденными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Российской Федерации от 01.10.2020 № 1576.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Уведомлением от 19.09.2024 лицам, участвующим в рассмотрении жалобы, посредством размещения информации в ЕИС сообщено о назначении рассмотрения жалобы на 24.09.2024 в 11:00 (мск) и возможности участия в рассмотрении жалобы с использованием систем видеоконференцсвязи или программ, обеспечивающих голосовую видеосвязь посредством сети «Интернет» (далее - ВКС). Соответствующая ссылка ВКС размещена в ЕИС.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требованиями ст.ст. 99, 105, 106 Закона № 44-ФЗ, Правил № 1576 Комиссией УФАС в рамках рассмотрения жалобы Заявителя проведена внеплановая проверка.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рамках рассмотрения жалобы и внеплановой проверки установлено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оспаривает обоснованность применения трех дополнительных характеристик объекта закупки, применение которых, по его мнению, не позволило ему участвовать в аукционе с моделью кондиционера НОВА К8-ОКЫ2КУ/Ки—ОКЫ2КУ:</w:t>
      </w:r>
    </w:p>
    <w:tbl>
      <w:tblPr>
        <w:tblOverlap w:val="never"/>
        <w:jc w:val="center"/>
        <w:tblLayout w:type="fixed"/>
      </w:tblPr>
      <w:tblGrid>
        <w:gridCol w:w="3269"/>
        <w:gridCol w:w="2995"/>
        <w:gridCol w:w="3682"/>
      </w:tblGrid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Обоснование применения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Максимальный перепад высот между блоками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&gt; 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Для обеспечения возможности монтажа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Потребляемая мощность при обогреве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&lt; 0,94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Для обеспечения минимизации энергопотребления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Потребляемая мощность при охлаждении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&lt; 1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Для обеспечения минимизации энергопотребления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Уполномоченное учреждения и Заказчика не согласились.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Позиция субъектов контроля сводиться к тому, что 10.09.2024 в ЕИС размещено извещение о закупке. Согласно протоколу от 18.09.2024 подведения итогов определения поставщика (подрядчика, исполнителя) признаны соответствующими 3 заявки участников закупки. Факт подачи трех заявок для участия в закупке указывает на отсутствие преимущественных условий аукциона для кого-то из участников и на отсутствие иных ограничений конкуренции.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разработке технического задания Заказчик руководствовался требованиями положений ст. 33 Закона № 44-ФЗ, из которых следует, что Заказчик при описании объекта закупки вправе определить требования к закупаемым товарам таким образом, чтобы повысить шансы на приобретение товара именно с теми характеристиками, которые ему необходимы. Законом № 44-ФЗ не предусмотрено каких-либо ограничений в объеме изложения предмета закупки, поэтому Заказчик вправе детализировать предмет необходимой ему закупки, самостоятельно определяя свою потребность в том или ином товаре, работах или услугах, устанавливая при этом требования к ним, которые являются значимыми для заказчика.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Правилами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Правилами использования каталога товаров, работ, услуг для обеспечения государственных и муниципальных нужд, утверждёнными Постановлением Правительства Российской Федерации от 08.02.2017 № 145 (далее - Постановление № 145)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11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вправе (за исключением случаев, установленных в подпунктах "а" и "б" пункта 5 Правил использования каталога) указать дополнительную информацию,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№ 44-ФЗ, которые не предусмотрены в позиции каталога. В случае указания таких дополнительных информации и свойств Заказчик обязан включить в описание объекта закупки обоснование необходимости использования такой информации. При этом Постановление №</w:t>
        <w:tab/>
        <w:t>145 не устанавливают требований к форме и содержанию указанного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обоснования, в связи с чем оно составляется Заказчиком самостоятельно. Обоснование должно позволять определить необходимость использования дополнительных характеристик.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 закупки «Кондиционер бытовой» (ОКПД 28.25.12.130, КТРУ 28.25.12.130</w:t>
        <w:softHyphen/>
        <w:t>00000010) не подпадает под исключения, установленные в подпунктах "а" и "б" пункта 5 Правил использования каталога. Соответственно, применение дополнительных характеристик Заказчиком возможно.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Обоснованность включение оспариваемых Заявителем характеристик Заказчик пояснил следующим, а именно: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«1. Здание, на которое планируется установить кондиционеры, является объектом культурного наследия регионального значения (г. Вологда, ул. Каменный мост, д. 4). В соответствии с постановлением Правительства Вологодской области от 24 декабря 2018 года № 1200 «Об утверждении предмета охраны, границы территории и требований к градостроительным регламентам в границах территории исторического поселения регионального значения город Вологда» на объектах культурного наследия регионального значения запрещается установка кондиционера на главных фасадах здания. Поэтому Заказчиком было принято решение о приобретении и последующей установке кондиционера на противоположной стороне здания, в связи с чем требуется максимальный перепад высот между блоками больше 12 метров для возможности его установки.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Здание по адресу г. Вологда, ул. Каменный мост, дом 4 1904 года постройки, поэтому проводка в здании не рассчитана на потребляемую мощность при обогреве и мощность при охлаждении свыше 1 Киловатт, поэтому установка и последующая эксплуатация кондиционеров мощностью при обогреве и мощностью при охлаждении 1 Киловатт и выше может привести к пожароопасной ситуации в здании и замыканию электропроводки. В подтверждение вышесказанного прилагаем расчет энергопотребления, обосновывающий невозможность приобретения кондиционеров с характеристиками потребляемой мощности свыше 1 Киловатт.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составлении технического задания Заказчиком был проведен анализ существующего рынка кондиционеров, в результате которого выявлены соответствующие потребностям Заказчика кондиционеры и содержащие указанные выше характеристики.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закупки на участие в закупке было подано 3 заявки. Указанные заявки содержали характеристики товара, предлагаемого к поставке, соответствующие характеристикам, указанным в Приложении № 2 «Описание объекта закупки (техническое задание)».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26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вышеизложенного, по мнению Заказчика, довод Заявителя о том, что Заказчик включил в описание объекта закупки требования к товару, ограничивающие количество потенциальных участников, является не состоятельным. Указание Заказчиком в извещении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 (п.</w:t>
        <w:tab/>
        <w:t>1 Обзора судебной практики применения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утвержденного Президиумом Верховного Суда Российской Федерации 28.06.2017). Закон о контрактной системе не содержит каких-либо ограничений в конкретизации предмета закупки, и Заказчик вправе определять свою потребность в тех или иных товарах, работах и услугах и устанавливать требования к ним. Отсутствие у каких-либо лиц, заинтересованных в заключении контракта, возможности поставить товар, соответствующий потребностям заказчика, не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свидетельствует о нарушении заказчиком прав этих лиц, а также ограничении заказчиком числа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УФАС, проанализировав довод Заявителя, возражения Уполномоченного учреждения, Заказчика и материалы жалобы в их совокупности, не установила нарушений требований законодательства о контрактной системе и наличии признаков ограничения участия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Заявителем не представлены доказательства, прямо свидетельствующие о невозможности Заявителя принять участие в закупке (подать заявку на участие в закупке).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Доводы жалобы признаны необоснованным. В рамках внеплановой проверки признаков нарушений законодательства о контрактной системе не выявлено.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ст. 106 Закона № 44-ФЗ, Правилами № 1576, Комиссия УФАС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индивидуального предпринимателя Чащина С.А.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885" w:right="644" w:bottom="817" w:left="120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5" w:right="0" w:bottom="50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3298" w:h="307" w:wrap="none" w:vAnchor="text" w:hAnchor="page" w:x="160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 УФАС</w:t>
      </w:r>
    </w:p>
    <w:p>
      <w:pPr>
        <w:pStyle w:val="Style14"/>
        <w:keepNext w:val="0"/>
        <w:keepLines w:val="0"/>
        <w:framePr w:w="864" w:h="298" w:wrap="none" w:vAnchor="text" w:hAnchor="page" w:x="58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подпись</w:t>
      </w:r>
    </w:p>
    <w:p>
      <w:pPr>
        <w:pStyle w:val="Style14"/>
        <w:keepNext w:val="0"/>
        <w:keepLines w:val="0"/>
        <w:framePr w:w="1315" w:h="307" w:wrap="none" w:vAnchor="text" w:hAnchor="page" w:x="848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О.Н. Сучков</w:t>
      </w:r>
    </w:p>
    <w:p>
      <w:pPr>
        <w:pStyle w:val="Style14"/>
        <w:keepNext w:val="0"/>
        <w:keepLines w:val="0"/>
        <w:framePr w:w="2630" w:h="298" w:wrap="none" w:vAnchor="text" w:hAnchor="page" w:x="1604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 УФАС:</w:t>
      </w:r>
    </w:p>
    <w:p>
      <w:pPr>
        <w:pStyle w:val="Style14"/>
        <w:keepNext w:val="0"/>
        <w:keepLines w:val="0"/>
        <w:framePr w:w="864" w:h="298" w:wrap="none" w:vAnchor="text" w:hAnchor="page" w:x="5823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подпись</w:t>
      </w:r>
    </w:p>
    <w:p>
      <w:pPr>
        <w:pStyle w:val="Style14"/>
        <w:keepNext w:val="0"/>
        <w:keepLines w:val="0"/>
        <w:framePr w:w="1800" w:h="298" w:wrap="none" w:vAnchor="text" w:hAnchor="page" w:x="8477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И.А. Смышляева</w:t>
      </w:r>
    </w:p>
    <w:p>
      <w:pPr>
        <w:widowControl w:val="0"/>
        <w:spacing w:line="360" w:lineRule="exact"/>
      </w:pPr>
    </w:p>
    <w:p>
      <w:pPr>
        <w:widowControl w:val="0"/>
        <w:spacing w:after="4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5" w:right="678" w:bottom="506" w:left="124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3696970</wp:posOffset>
                </wp:positionH>
                <wp:positionV relativeFrom="paragraph">
                  <wp:posOffset>12700</wp:posOffset>
                </wp:positionV>
                <wp:extent cx="548640" cy="189230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подпись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291.10000000000002pt;margin-top:1.pt;width:43.200000000000003pt;height:14.9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подпись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Е.А. Косоногова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85" w:right="679" w:bottom="985" w:left="668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3933190</wp:posOffset>
              </wp:positionH>
              <wp:positionV relativeFrom="page">
                <wp:posOffset>10273030</wp:posOffset>
              </wp:positionV>
              <wp:extent cx="4572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69999999999999pt;margin-top:808.89999999999998pt;width:3.600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906780</wp:posOffset>
              </wp:positionH>
              <wp:positionV relativeFrom="page">
                <wp:posOffset>10246995</wp:posOffset>
              </wp:positionV>
              <wp:extent cx="6099175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991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400000000000006pt;margin-top:806.85000000000002pt;width:480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3947160</wp:posOffset>
              </wp:positionH>
              <wp:positionV relativeFrom="page">
                <wp:posOffset>10325100</wp:posOffset>
              </wp:positionV>
              <wp:extent cx="2413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13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10.80000000000001pt;margin-top:813.pt;width:1.9000000000000001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908050</wp:posOffset>
              </wp:positionH>
              <wp:positionV relativeFrom="page">
                <wp:posOffset>10298430</wp:posOffset>
              </wp:positionV>
              <wp:extent cx="609600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960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5pt;margin-top:810.89999999999998pt;width:480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Заголовок №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Подпись к таблиц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Друго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auto"/>
      <w:spacing w:after="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Подпись к таблице"/>
    <w:basedOn w:val="Normal"/>
    <w:link w:val="CharStyle8"/>
    <w:pPr>
      <w:widowControl w:val="0"/>
      <w:shd w:val="clear" w:color="auto" w:fill="auto"/>
      <w:spacing w:after="60"/>
      <w:ind w:firstLine="3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Другое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Начальнику управления по кадровой</dc:title>
  <dc:subject/>
  <dc:creator>Celeron IV</dc:creator>
  <cp:keywords/>
</cp:coreProperties>
</file>