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3489325</wp:posOffset>
            </wp:positionH>
            <wp:positionV relativeFrom="margin">
              <wp:posOffset>0</wp:posOffset>
            </wp:positionV>
            <wp:extent cx="628015" cy="7131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28015" cy="713105"/>
                    </a:xfrm>
                    <a:prstGeom prst="rect"/>
                  </pic:spPr>
                </pic:pic>
              </a:graphicData>
            </a:graphic>
          </wp:anchor>
        </w:drawing>
      </w:r>
    </w:p>
    <w:p>
      <w:pPr>
        <w:widowControl w:val="0"/>
        <w:spacing w:line="360" w:lineRule="exact"/>
      </w:pPr>
    </w:p>
    <w:p>
      <w:pPr>
        <w:widowControl w:val="0"/>
        <w:spacing w:after="402" w:line="1" w:lineRule="exact"/>
      </w:pPr>
    </w:p>
    <w:p>
      <w:pPr>
        <w:widowControl w:val="0"/>
        <w:spacing w:line="1" w:lineRule="exact"/>
        <w:sectPr>
          <w:headerReference w:type="default" r:id="rId7"/>
          <w:headerReference w:type="first" r:id="rId8"/>
          <w:footnotePr>
            <w:pos w:val="pageBottom"/>
            <w:numFmt w:val="decimal"/>
            <w:numRestart w:val="continuous"/>
          </w:footnotePr>
          <w:pgSz w:w="11900" w:h="16840"/>
          <w:pgMar w:top="1053" w:right="696" w:bottom="920" w:left="945" w:header="0" w:footer="3" w:gutter="0"/>
          <w:pgNumType w:start="1"/>
          <w:cols w:space="720"/>
          <w:noEndnote/>
          <w:titlePg/>
          <w:rtlGutter w:val="0"/>
          <w:docGrid w:linePitch="360"/>
        </w:sectPr>
      </w:pPr>
    </w:p>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ФЕДЕРАЛЬНАЯ</w:t>
      </w:r>
    </w:p>
    <w:p>
      <w:pPr>
        <w:pStyle w:val="Style2"/>
        <w:keepNext w:val="0"/>
        <w:keepLines w:val="0"/>
        <w:widowControl w:val="0"/>
        <w:shd w:val="clear" w:color="auto" w:fill="auto"/>
        <w:bidi w:val="0"/>
        <w:spacing w:before="0" w:after="28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0" w:line="298"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УПРАВЛЕНИЕ</w:t>
      </w:r>
    </w:p>
    <w:p>
      <w:pPr>
        <w:pStyle w:val="Style2"/>
        <w:keepNext w:val="0"/>
        <w:keepLines w:val="0"/>
        <w:widowControl w:val="0"/>
        <w:pBdr>
          <w:bottom w:val="single" w:sz="4" w:space="0" w:color="auto"/>
        </w:pBdr>
        <w:shd w:val="clear" w:color="auto" w:fill="auto"/>
        <w:bidi w:val="0"/>
        <w:spacing w:before="0" w:after="280" w:line="276" w:lineRule="auto"/>
        <w:ind w:left="0" w:right="0" w:firstLine="0"/>
        <w:jc w:val="center"/>
      </w:pPr>
      <w:r>
        <w:rPr>
          <w:b/>
          <w:bCs/>
          <w:color w:val="000000"/>
          <w:spacing w:val="0"/>
          <w:w w:val="100"/>
          <w:position w:val="0"/>
          <w:sz w:val="24"/>
          <w:szCs w:val="24"/>
          <w:shd w:val="clear" w:color="auto" w:fill="auto"/>
          <w:lang w:val="ru-RU" w:eastAsia="ru-RU" w:bidi="ru-RU"/>
        </w:rPr>
        <w:t>Федеральной антимонопольной службы</w:t>
        <w:br/>
        <w:t>по Вологодской области</w:t>
      </w:r>
    </w:p>
    <w:p>
      <w:pPr>
        <w:pStyle w:val="Style6"/>
        <w:keepNext/>
        <w:keepLines/>
        <w:widowControl w:val="0"/>
        <w:shd w:val="clear" w:color="auto" w:fill="auto"/>
        <w:bidi w:val="0"/>
        <w:spacing w:before="0" w:after="340" w:line="240" w:lineRule="auto"/>
        <w:ind w:left="0" w:right="0" w:firstLine="0"/>
        <w:jc w:val="left"/>
      </w:pPr>
      <w:bookmarkStart w:id="0" w:name="bookmark0"/>
      <w:r>
        <w:rPr>
          <w:color w:val="000000"/>
          <w:spacing w:val="0"/>
          <w:w w:val="100"/>
          <w:position w:val="0"/>
          <w:shd w:val="clear" w:color="auto" w:fill="auto"/>
          <w:lang w:val="ru-RU" w:eastAsia="ru-RU" w:bidi="ru-RU"/>
        </w:rPr>
        <w:t>160000, г. Вологда, ул. Пушкинская, 25, тел. (8172)72-99-70; факс (8172)72-46-64</w:t>
      </w:r>
      <w:bookmarkEnd w:id="0"/>
    </w:p>
    <w:p>
      <w:pPr>
        <w:pStyle w:val="Style6"/>
        <w:keepNext/>
        <w:keepLines/>
        <w:widowControl w:val="0"/>
        <w:shd w:val="clear" w:color="auto" w:fill="auto"/>
        <w:bidi w:val="0"/>
        <w:spacing w:before="0" w:after="0" w:line="240" w:lineRule="auto"/>
        <w:ind w:left="0" w:right="0" w:firstLine="0"/>
        <w:jc w:val="left"/>
        <w:rPr>
          <w:sz w:val="24"/>
          <w:szCs w:val="24"/>
        </w:rPr>
      </w:pPr>
      <w:bookmarkStart w:id="2" w:name="bookmark2"/>
      <w:r>
        <w:rPr>
          <w:color w:val="000000"/>
          <w:spacing w:val="0"/>
          <w:w w:val="100"/>
          <w:position w:val="0"/>
          <w:sz w:val="24"/>
          <w:szCs w:val="24"/>
          <w:shd w:val="clear" w:color="auto" w:fill="auto"/>
          <w:lang w:val="ru-RU" w:eastAsia="ru-RU" w:bidi="ru-RU"/>
        </w:rPr>
        <w:t xml:space="preserve">е-таП: </w:t>
      </w:r>
      <w:r>
        <w:rPr>
          <w:color w:val="000000"/>
          <w:spacing w:val="0"/>
          <w:w w:val="100"/>
          <w:position w:val="0"/>
          <w:sz w:val="24"/>
          <w:szCs w:val="24"/>
          <w:u w:val="single"/>
          <w:shd w:val="clear" w:color="auto" w:fill="auto"/>
          <w:lang w:val="ru-RU" w:eastAsia="ru-RU" w:bidi="ru-RU"/>
        </w:rPr>
        <w:t>1о35@Га8.цоу.ги</w:t>
      </w:r>
      <w:bookmarkEnd w:id="2"/>
    </w:p>
    <w:p>
      <w:pPr>
        <w:pStyle w:val="Style6"/>
        <w:keepNext/>
        <w:keepLines/>
        <w:widowControl w:val="0"/>
        <w:shd w:val="clear" w:color="auto" w:fill="auto"/>
        <w:bidi w:val="0"/>
        <w:spacing w:before="0" w:line="240" w:lineRule="auto"/>
        <w:ind w:left="0" w:right="0" w:firstLine="0"/>
        <w:jc w:val="left"/>
        <w:rPr>
          <w:sz w:val="24"/>
          <w:szCs w:val="24"/>
        </w:rPr>
      </w:pPr>
      <w:bookmarkStart w:id="4" w:name="bookmark4"/>
      <w:r>
        <w:rPr>
          <w:color w:val="000000"/>
          <w:spacing w:val="0"/>
          <w:w w:val="100"/>
          <w:position w:val="0"/>
          <w:sz w:val="24"/>
          <w:szCs w:val="24"/>
          <w:shd w:val="clear" w:color="auto" w:fill="auto"/>
          <w:lang w:val="ru-RU" w:eastAsia="ru-RU" w:bidi="ru-RU"/>
        </w:rPr>
        <w:t>ИПр://уо1о§с1а.Га8.§оу.ш</w:t>
      </w:r>
      <w:bookmarkEnd w:id="4"/>
    </w:p>
    <w:p>
      <w:pPr>
        <w:pStyle w:val="Style10"/>
        <w:keepNext/>
        <w:keepLines/>
        <w:widowControl w:val="0"/>
        <w:shd w:val="clear" w:color="auto" w:fill="auto"/>
        <w:bidi w:val="0"/>
        <w:spacing w:before="0" w:after="0" w:line="240" w:lineRule="auto"/>
        <w:ind w:left="5660" w:right="0" w:firstLine="0"/>
        <w:jc w:val="both"/>
      </w:pPr>
      <w:bookmarkStart w:id="6" w:name="bookmark6"/>
      <w:r>
        <w:rPr>
          <w:color w:val="000000"/>
          <w:spacing w:val="0"/>
          <w:w w:val="100"/>
          <w:position w:val="0"/>
          <w:sz w:val="24"/>
          <w:szCs w:val="24"/>
          <w:shd w:val="clear" w:color="auto" w:fill="auto"/>
          <w:lang w:val="ru-RU" w:eastAsia="ru-RU" w:bidi="ru-RU"/>
        </w:rPr>
        <w:t>Заявитель:</w:t>
      </w:r>
      <w:bookmarkEnd w:id="6"/>
    </w:p>
    <w:p>
      <w:pPr>
        <w:pStyle w:val="Style2"/>
        <w:keepNext w:val="0"/>
        <w:keepLines w:val="0"/>
        <w:widowControl w:val="0"/>
        <w:shd w:val="clear" w:color="auto" w:fill="auto"/>
        <w:bidi w:val="0"/>
        <w:spacing w:before="0" w:after="340" w:line="240" w:lineRule="auto"/>
        <w:ind w:left="5660" w:right="0" w:firstLine="0"/>
        <w:jc w:val="both"/>
      </w:pPr>
      <w:r>
        <w:rPr>
          <w:color w:val="000000"/>
          <w:spacing w:val="0"/>
          <w:w w:val="100"/>
          <w:position w:val="0"/>
          <w:sz w:val="24"/>
          <w:szCs w:val="24"/>
          <w:shd w:val="clear" w:color="auto" w:fill="auto"/>
          <w:lang w:val="ru-RU" w:eastAsia="ru-RU" w:bidi="ru-RU"/>
        </w:rPr>
        <w:t>ООО «Медицинские изделия»</w:t>
      </w:r>
    </w:p>
    <w:p>
      <w:pPr>
        <w:pStyle w:val="Style10"/>
        <w:keepNext/>
        <w:keepLines/>
        <w:widowControl w:val="0"/>
        <w:shd w:val="clear" w:color="auto" w:fill="auto"/>
        <w:bidi w:val="0"/>
        <w:spacing w:before="0" w:after="0" w:line="240" w:lineRule="auto"/>
        <w:ind w:left="5660" w:right="0" w:firstLine="0"/>
        <w:jc w:val="both"/>
      </w:pPr>
      <w:bookmarkStart w:id="8" w:name="bookmark8"/>
      <w:r>
        <w:rPr>
          <w:color w:val="000000"/>
          <w:spacing w:val="0"/>
          <w:w w:val="100"/>
          <w:position w:val="0"/>
          <w:sz w:val="24"/>
          <w:szCs w:val="24"/>
          <w:shd w:val="clear" w:color="auto" w:fill="auto"/>
          <w:lang w:val="ru-RU" w:eastAsia="ru-RU" w:bidi="ru-RU"/>
        </w:rPr>
        <w:t>Заказчик:</w:t>
      </w:r>
      <w:bookmarkEnd w:id="8"/>
    </w:p>
    <w:p>
      <w:pPr>
        <w:pStyle w:val="Style2"/>
        <w:keepNext w:val="0"/>
        <w:keepLines w:val="0"/>
        <w:widowControl w:val="0"/>
        <w:shd w:val="clear" w:color="auto" w:fill="auto"/>
        <w:bidi w:val="0"/>
        <w:spacing w:before="0" w:after="280" w:line="240" w:lineRule="auto"/>
        <w:ind w:left="5660" w:right="0" w:firstLine="0"/>
        <w:jc w:val="both"/>
      </w:pPr>
      <w:r>
        <w:rPr>
          <w:color w:val="000000"/>
          <w:spacing w:val="0"/>
          <w:w w:val="100"/>
          <w:position w:val="0"/>
          <w:sz w:val="24"/>
          <w:szCs w:val="24"/>
          <w:shd w:val="clear" w:color="auto" w:fill="auto"/>
          <w:lang w:val="ru-RU" w:eastAsia="ru-RU" w:bidi="ru-RU"/>
        </w:rPr>
        <w:t>БУЗ ВО «Вытегорская центральная районная больница»</w:t>
      </w:r>
    </w:p>
    <w:p>
      <w:pPr>
        <w:pStyle w:val="Style10"/>
        <w:keepNext/>
        <w:keepLines/>
        <w:widowControl w:val="0"/>
        <w:shd w:val="clear" w:color="auto" w:fill="auto"/>
        <w:bidi w:val="0"/>
        <w:spacing w:before="0" w:after="0" w:line="240" w:lineRule="auto"/>
        <w:ind w:left="5660" w:right="0" w:firstLine="0"/>
        <w:jc w:val="both"/>
      </w:pPr>
      <w:bookmarkStart w:id="10" w:name="bookmark10"/>
      <w:r>
        <w:rPr>
          <w:color w:val="000000"/>
          <w:spacing w:val="0"/>
          <w:w w:val="100"/>
          <w:position w:val="0"/>
          <w:sz w:val="24"/>
          <w:szCs w:val="24"/>
          <w:shd w:val="clear" w:color="auto" w:fill="auto"/>
          <w:lang w:val="ru-RU" w:eastAsia="ru-RU" w:bidi="ru-RU"/>
        </w:rPr>
        <w:t>Оператор электронной площадки:</w:t>
      </w:r>
      <w:bookmarkEnd w:id="10"/>
    </w:p>
    <w:p>
      <w:pPr>
        <w:pStyle w:val="Style2"/>
        <w:keepNext w:val="0"/>
        <w:keepLines w:val="0"/>
        <w:widowControl w:val="0"/>
        <w:shd w:val="clear" w:color="auto" w:fill="auto"/>
        <w:bidi w:val="0"/>
        <w:spacing w:before="0" w:after="1700" w:line="240" w:lineRule="auto"/>
        <w:ind w:left="5660" w:right="0" w:firstLine="0"/>
        <w:jc w:val="both"/>
      </w:pPr>
      <w:r>
        <w:rPr>
          <w:color w:val="000000"/>
          <w:spacing w:val="0"/>
          <w:w w:val="100"/>
          <w:position w:val="0"/>
          <w:sz w:val="24"/>
          <w:szCs w:val="24"/>
          <w:shd w:val="clear" w:color="auto" w:fill="auto"/>
          <w:lang w:val="ru-RU" w:eastAsia="ru-RU" w:bidi="ru-RU"/>
        </w:rPr>
        <w:t>ООО «РТС-тендер»</w:t>
      </w:r>
    </w:p>
    <w:p>
      <w:pPr>
        <w:pStyle w:val="Style10"/>
        <w:keepNext/>
        <w:keepLines/>
        <w:widowControl w:val="0"/>
        <w:shd w:val="clear" w:color="auto" w:fill="auto"/>
        <w:bidi w:val="0"/>
        <w:spacing w:before="0" w:after="280" w:line="240" w:lineRule="auto"/>
        <w:ind w:left="0" w:right="0" w:firstLine="0"/>
        <w:jc w:val="center"/>
      </w:pPr>
      <w:bookmarkStart w:id="12" w:name="bookmark12"/>
      <w:r>
        <w:rPr>
          <w:color w:val="000000"/>
          <w:spacing w:val="0"/>
          <w:w w:val="100"/>
          <w:position w:val="0"/>
          <w:sz w:val="24"/>
          <w:szCs w:val="24"/>
          <w:shd w:val="clear" w:color="auto" w:fill="auto"/>
          <w:lang w:val="ru-RU" w:eastAsia="ru-RU" w:bidi="ru-RU"/>
        </w:rPr>
        <w:t>РЕШЕНИЕ № 035/06/33-755/2024</w:t>
      </w:r>
      <w:bookmarkEnd w:id="12"/>
    </w:p>
    <w:p>
      <w:pPr>
        <w:pStyle w:val="Style2"/>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6305550</wp:posOffset>
                </wp:positionH>
                <wp:positionV relativeFrom="paragraph">
                  <wp:posOffset>12700</wp:posOffset>
                </wp:positionV>
                <wp:extent cx="742950" cy="187325"/>
                <wp:wrapSquare wrapText="left"/>
                <wp:docPr id="5" name="Shape 5"/>
                <a:graphic xmlns:a="http://schemas.openxmlformats.org/drawingml/2006/main">
                  <a:graphicData uri="http://schemas.microsoft.com/office/word/2010/wordprocessingShape">
                    <wps:wsp>
                      <wps:cNvSpPr txBox="1"/>
                      <wps:spPr>
                        <a:xfrm>
                          <a:ext cx="742950" cy="1873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Вологда</w:t>
                            </w:r>
                          </w:p>
                        </w:txbxContent>
                      </wps:txbx>
                      <wps:bodyPr wrap="none" lIns="0" tIns="0" rIns="0" bIns="0">
                        <a:noAutoFit/>
                      </wps:bodyPr>
                    </wps:wsp>
                  </a:graphicData>
                </a:graphic>
              </wp:anchor>
            </w:drawing>
          </mc:Choice>
          <mc:Fallback>
            <w:pict>
              <v:shape id="_x0000_s1031" type="#_x0000_t202" style="position:absolute;margin-left:496.5pt;margin-top:1.pt;width:58.5pt;height:14.7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Вологда</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24 сентября 2024г.</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Комиссия по контролю в сфере закупок Управления Федеральной антимонопольной службы по Вологодской области (далее - Комиссия УФАС) в составе: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Сучков О.Н. - председатель комиссии Управления, временно исполняющий обязанности руководителя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Смышляева И.А. - член комиссии Управления, начальник отдела контроля органов власти и закупок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Косоногова Е.А. - член комиссии Управления, старший специалист 1 разряда отдела контроля органов власти и закупок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рассмотрев жалобу ООО «Медицинские изделия» на положения извещения о проведении запроса котировок в электронной форме на поставку расходного материала для гинекологии (реестровый номер извещения в ЕИС 0130300034224000043; далее - запрос котировок, закупка),</w:t>
      </w:r>
    </w:p>
    <w:p>
      <w:pPr>
        <w:pStyle w:val="Style2"/>
        <w:keepNext w:val="0"/>
        <w:keepLines w:val="0"/>
        <w:widowControl w:val="0"/>
        <w:shd w:val="clear" w:color="auto" w:fill="auto"/>
        <w:bidi w:val="0"/>
        <w:spacing w:before="0" w:after="140" w:line="240" w:lineRule="auto"/>
        <w:ind w:left="0" w:right="0" w:firstLine="700"/>
        <w:jc w:val="both"/>
      </w:pPr>
      <w:r>
        <w:rPr>
          <w:color w:val="000000"/>
          <w:spacing w:val="0"/>
          <w:w w:val="100"/>
          <w:position w:val="0"/>
          <w:sz w:val="24"/>
          <w:szCs w:val="24"/>
          <w:shd w:val="clear" w:color="auto" w:fill="auto"/>
          <w:lang w:val="ru-RU" w:eastAsia="ru-RU" w:bidi="ru-RU"/>
        </w:rPr>
        <w:t>при участии представителей Заявителя,</w:t>
      </w:r>
    </w:p>
    <w:p>
      <w:pPr>
        <w:pStyle w:val="Style10"/>
        <w:keepNext/>
        <w:keepLines/>
        <w:widowControl w:val="0"/>
        <w:shd w:val="clear" w:color="auto" w:fill="auto"/>
        <w:bidi w:val="0"/>
        <w:spacing w:before="0" w:after="30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УСТАНОВИЛА:</w:t>
      </w:r>
      <w:bookmarkEnd w:id="14"/>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17.09.2023 в Единой информационной системе в сфере закупок (далее - ЕИС) размещена жалоба Заявителя на положения извещения при проведении запроса котировок,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Жалоба Заявителя подана в надлежащий срок и соответствует требованиям, предусмотренным ст. 105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доводов жалобы следует, что Заказчик при составлении описания объекта установил требования к техническим характеристикам объекта закупки таким образом, что подходящим является оборудование одного единственного производителя, что приводит к ограничению количества участников закупки, способных поставить товар, отвечающий потребностям заказчика.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уведомлением от 18.09.2024 (далее - Уведомление) рассмотрении жалобы назначено на 24.09.2024. Уведомление в соответствии с требованиями части 8 статьи 106 Закона о контрактной системе размещено в ЕИС. Решение по жалобе принято 24.09.2024.</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рассмотрев представленные материалы и документы, размещенные в ЕИС (ЬКр://2акирк1.§оу.ги) в их совокупности установила следующее.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11.09.2024 в ЕИС размещено извещение о проведении запроса котировок в электронной форме.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Предмет закупки - поставка расходного материала для гинекологии.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Начальная (максимальная) цена контракта - 89 994,90 руб.</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Окончание подачи заявок - 18.09.2024.</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указанным законом, должно содержать, в том числе описание объекта закупки в соответствии со статьей 33 Закона о закупках. В извещении о проведении закупки должны содержаться: наименование объекта закупки, информация (при наличии), предусмотренная правилами использования каталога товаров, работ, услуг (далее - КТРУ) для обеспечения государственных и муниципальных нужд, установленными в соответствии с частью 6 статьи 23 настоящего Федерального закона (пункт 5 части 1 данной статьи 42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пунктами 1, 2 части 1 статьи 33 Закона о контрактной системе заказчик в случаях, предусмотренных данным законом, при описании объекта закупки должен руководствоваться следующими правилами: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2"/>
        <w:keepNext w:val="0"/>
        <w:keepLines w:val="0"/>
        <w:widowControl w:val="0"/>
        <w:numPr>
          <w:ilvl w:val="0"/>
          <w:numId w:val="1"/>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2"/>
        <w:keepNext w:val="0"/>
        <w:keepLines w:val="0"/>
        <w:widowControl w:val="0"/>
        <w:numPr>
          <w:ilvl w:val="0"/>
          <w:numId w:val="1"/>
        </w:numPr>
        <w:shd w:val="clear" w:color="auto" w:fill="auto"/>
        <w:tabs>
          <w:tab w:pos="103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2"/>
        <w:keepNext w:val="0"/>
        <w:keepLines w:val="0"/>
        <w:widowControl w:val="0"/>
        <w:numPr>
          <w:ilvl w:val="0"/>
          <w:numId w:val="1"/>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numPr>
          <w:ilvl w:val="0"/>
          <w:numId w:val="1"/>
        </w:numPr>
        <w:shd w:val="clear" w:color="auto" w:fill="auto"/>
        <w:tabs>
          <w:tab w:pos="1062"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случае, если описание (содержащее характеристики) объекта закупки не сформировано и не включено в позицию каталога заказчик при использовании такой позиции каталога самостоятельно осуществляет описание объекта закупки в соответствии с положениями статьи 33 Закона о контрактной системе (самостоятельно устанавливает в извещении об осуществлении закупки все характеристики закупаемого товара, работы, услуги), предусмотренные пунктом 5 Правил использования каталога запреты на указание дополнительных характеристик не применяются.</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статье 8 Закона о контрактной системе закреплено, что контрактная система в сфере закупок направлена на создание равных условий для обеспечения конкуренции между участниками закупок.</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 учетом требований статей 8, 33 Закона о контрактной системе заказчик при описании объекта закупки должен таким образом определить требования к закупаемым товарам, чтобы, с одной стороны, повысить шансы на приобретение товара именно с теми характеристиками, которые ему необходимы, соответствуют его потребностям, а с другой стороны, необоснованно не ограничить количество участников закупки.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пункту 2 Обзору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28.06.2017,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правовой позиции ФАС России, выраженной в письме от 20.09.2021 № ПИ/79427/21, объект закупки должен быть сформирован таким образом, чтобы совокупности характеристик товара соответствовало как минимум два производителя.</w:t>
      </w:r>
    </w:p>
    <w:p>
      <w:pPr>
        <w:pStyle w:val="Style2"/>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943" w:right="635" w:bottom="776" w:left="970"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w:t>
      </w:r>
    </w:p>
    <w:p>
      <w:pPr>
        <w:pStyle w:val="Style2"/>
        <w:keepNext w:val="0"/>
        <w:keepLines w:val="0"/>
        <w:widowControl w:val="0"/>
        <w:shd w:val="clear" w:color="auto" w:fill="auto"/>
        <w:bidi w:val="0"/>
        <w:spacing w:before="0" w:after="0" w:line="259" w:lineRule="auto"/>
        <w:ind w:left="0" w:right="0" w:firstLine="10080"/>
        <w:jc w:val="both"/>
      </w:pPr>
      <w:r>
        <w:rPr>
          <w:color w:val="000000"/>
          <w:spacing w:val="0"/>
          <w:w w:val="100"/>
          <w:position w:val="0"/>
          <w:sz w:val="20"/>
          <w:szCs w:val="20"/>
          <w:shd w:val="clear" w:color="auto" w:fill="auto"/>
          <w:lang w:val="ru-RU" w:eastAsia="ru-RU" w:bidi="ru-RU"/>
        </w:rPr>
        <w:t xml:space="preserve">4 </w:t>
      </w:r>
      <w:r>
        <w:rPr>
          <w:color w:val="000000"/>
          <w:spacing w:val="0"/>
          <w:w w:val="100"/>
          <w:position w:val="0"/>
          <w:sz w:val="24"/>
          <w:szCs w:val="24"/>
          <w:shd w:val="clear" w:color="auto" w:fill="auto"/>
          <w:lang w:val="ru-RU" w:eastAsia="ru-RU" w:bidi="ru-RU"/>
        </w:rPr>
        <w:t>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Закупка товара осуществляется Заказчиком с выбором позиции КТРУ 32.50.50.190- 00000536. Сведения в каталоге о характеристиках товара отсутствуют.</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описании объекта закупки (Техническом задании) Заказчик указал конкретный показатель для зеркал гинекологических с техническими характеристиками: «Высота зеркала от верхнего края верхней створки до нижнего края нижней ручки &gt; 150 и &lt; 160 мм, длина зеркала от переднего края верхней створки до заднего края верхней ручки &gt; 165 и &lt; 175 мм», «Длина рукоятки нижней створки &gt;135 мм».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полагает, что подобные зеркала может изготавливать единственный производитель - ЗАО «Медицинское предприятие Симург», Республика Беларусь.</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Указанный довод подтверждается Регистрационным удостоверением от 12 февраля 2021 года № ФСЗ 2007/00493, руководством по эксплуатации и фотографиями с официального сайта Росздравнадзора (</w:t>
      </w:r>
      <w:r>
        <w:rPr>
          <w:color w:val="000000"/>
          <w:spacing w:val="0"/>
          <w:w w:val="100"/>
          <w:position w:val="0"/>
          <w:sz w:val="24"/>
          <w:szCs w:val="24"/>
          <w:u w:val="single"/>
          <w:shd w:val="clear" w:color="auto" w:fill="auto"/>
          <w:lang w:val="ru-RU" w:eastAsia="ru-RU" w:bidi="ru-RU"/>
        </w:rPr>
        <w:t>йКр8://\уху\у.го82дгаупас12ог.ги/8егУ1се8/т18еагсЬ</w:t>
      </w:r>
      <w:r>
        <w:rPr>
          <w:color w:val="000000"/>
          <w:spacing w:val="0"/>
          <w:w w:val="100"/>
          <w:position w:val="0"/>
          <w:sz w:val="24"/>
          <w:szCs w:val="24"/>
          <w:shd w:val="clear" w:color="auto" w:fill="auto"/>
          <w:lang w:val="ru-RU" w:eastAsia="ru-RU" w:bidi="ru-RU"/>
        </w:rPr>
        <w:t>).</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Заявителем представлены сведения, свидетельствующие о том, что с учетом содержания инструкций по применению к регистрационным удостоверениям РЗН 2018/7077 от 26.04.2018 (производитель ООО «Полимерные изделия», РЗН 2020/16422 от 26.01.2022 (производитель ООО «Беримед»), данные медицинские изделия не соответствуют требованиям описания объекта закупки.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является держателем регистрационного удостоверения РЗН 2018/6883 от 05.04.2023, которое также по совокупности характеристик не соответствует требованиям объекта закупки.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Заказчику в соответствии с Уведомлением было предложено в срок не позднее 14:00 20.09.2024 представить письменные возражения по жалобе, в том числе с обоснованием специфики использования изделия с соответствующими характеристиками, соответствия изделий описанию объекта закупки различных производителей (сравнительную таблицу производителей с указанием характеристик изделий, инструкции/руководства, письма и производителей, коммерчески предложения и пр.), а также с обязательным приложением копий всех документов, на которые будет сделана ссылка в письменных пояснениях.</w:t>
      </w:r>
    </w:p>
    <w:p>
      <w:pPr>
        <w:pStyle w:val="Style2"/>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Заказчик в установленный срок возражения с документами комиссии Управления не представил. Явку своего представителя для участия в рассмотрении жалобы не обеспечил.</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рамках рассмотрения жалобы ООО «БГ ТРУП» с аналогичными доводами на извещение по настоящей закупки представил только письменные возражения от 23.09.2024 № 889, из которых следует, что требование к длине рукоятки нижней створки зеркала гинекологического в составе набора гинекологического обусловлено тем, что использование зеркала с длинной рукояткой позволяет провести необходимую процедуру более безболезненно, быстрее и комфортнее как для врача, так и для пациента, поскольку длинная рукоятка позволяет изменить угол наклона зеркала, когда оно уже находится во влагалище, а также позволяет легко манипулировать инструментом.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не представил пояснения с учетом специфики использования медицинского изделия на значимость для него показателя длины зеркала от переднего края верхней створки до заднего края верхней ручки, а также высоты зеркала от верхнего края верхней створки до нижнего края нижней ручки. Также Заказчик никаким образом не подтвердил, что исключительно длина рукоятки нижней створки фактически позволяет изменить угол наклона зеркала.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документально не обосновал и не представил доказательств, что описание объекта закупки сформировано именно таким образом, чтобы наиболее полно удовлетворить потребностям заказчика.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УФАС отмечает, что бремя доказывания отсутствия необоснованного ограничения количества участников закупочной процедуры и наличия на товарном рынке</w:t>
      </w:r>
    </w:p>
    <w:p>
      <w:pPr>
        <w:pStyle w:val="Style2"/>
        <w:keepNext w:val="0"/>
        <w:keepLines w:val="0"/>
        <w:widowControl w:val="0"/>
        <w:shd w:val="clear" w:color="auto" w:fill="auto"/>
        <w:bidi w:val="0"/>
        <w:spacing w:before="0" w:after="0" w:line="254" w:lineRule="auto"/>
        <w:ind w:left="0" w:right="0" w:firstLine="10140"/>
        <w:jc w:val="both"/>
      </w:pPr>
      <w:r>
        <w:rPr>
          <w:color w:val="000000"/>
          <w:spacing w:val="0"/>
          <w:w w:val="100"/>
          <w:position w:val="0"/>
          <w:sz w:val="20"/>
          <w:szCs w:val="20"/>
          <w:shd w:val="clear" w:color="auto" w:fill="auto"/>
          <w:lang w:val="ru-RU" w:eastAsia="ru-RU" w:bidi="ru-RU"/>
        </w:rPr>
        <w:t xml:space="preserve">5 </w:t>
      </w:r>
      <w:r>
        <w:rPr>
          <w:color w:val="000000"/>
          <w:spacing w:val="0"/>
          <w:w w:val="100"/>
          <w:position w:val="0"/>
          <w:sz w:val="24"/>
          <w:szCs w:val="24"/>
          <w:shd w:val="clear" w:color="auto" w:fill="auto"/>
          <w:lang w:val="ru-RU" w:eastAsia="ru-RU" w:bidi="ru-RU"/>
        </w:rPr>
        <w:t>нескольких производителей закупаемого товара относится на Заказчика как лицо, в исключительной компетенции которого находится вопрос формирования своей закупочной документации, ввиду чего при ее утверждении Заказчику надлежит располагать документами, подтверждающими указанные обстоятельства, а не изыскивать таковые при поступлении в антимонопольный орган жалобы от участника закупочной процедуры. Между тем, таких доказательств Заказчиком не представлено.</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для квалификации действий заказчика как нарушающих основополагающие принципы закупочной деятельности, в том числе и обеспечения конкуренции, необязательно непосредственное наступление негативных правовых последствий в виде ограничения количества участников либо ущемления прав кого-либо из этих участников, достаточно возникновения угрозы наступления таких последствий. В свою очередь, антимонопольный орган, будучи контрольным органом в сфере закупочных процедур, обязан реагировать в том числе и на гипотетическую вероятность наступления таких негативных последствий с целью пресечения нарушения прав и законных интересов участников закупочной процедуры.</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если у Заказчика имеются определенные обоснованные потребности в получении тех или иных товаров, он вправе устанавливать соответствующие требования к товарам в извещении (описании объекта закупки),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отсутствующие в свободном доступе, в том числе для приобретения которых необходимо заключать определенные договоры и соглашения с производителем оборудования.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Более того, при наличии у Заказчика обоснованной потребности в поставке именно таких товаров, характеристики которых указаны в документации, Заказчику необходимо определить, каким образом требуемый товар наилучшим образом удовлетворяет его потребность, а также в чем такой товар превосходит по характеристикам аналогичные товары, представленные на рынке, и в связи с чем в работе лечебного учреждения не могут быть использованы эквивалентные товары.</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Заказчику необходимо обладать документальным подтверждением такой потребности, но не руководствоваться своим субъективным мнением и/или предположениями.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Аналогичные позиции изложены в решении арбитражного суда города Москвы от 25.10.2021 по делу № А40-143653/21-84-1094, решении арбитражного суда Новгородской области от 09.09.2024 № А44-4111/2024.</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Доказательств, подтверждающих соответствие требованиям описания объекта закупки оборудования как минимум двоих производителей, Заказчиком не представлено.</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участие в аукционе поступила 1 (одна) заявка ООО «Юнона» с предложением медицинского изделия производства ЗАО «Медицинское предприятие Симург», Республика Беларусь.</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с учетом совокупности установленных обстоятельств, довод Заявителя об ограничении Заказчиком количества участников закупки в пользу оборудования единственного производителя ЗАО «Медицинское предприятие Симург», является обоснованным.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1 части 15 статьи 99 Закона о контрактной системе Комиссия УФАС провела внеплановую проверку, по результатам которой нарушений при проведении аукциона не установлено.</w:t>
      </w:r>
    </w:p>
    <w:p>
      <w:pPr>
        <w:pStyle w:val="Style2"/>
        <w:keepNext w:val="0"/>
        <w:keepLines w:val="0"/>
        <w:widowControl w:val="0"/>
        <w:shd w:val="clear" w:color="auto" w:fill="auto"/>
        <w:bidi w:val="0"/>
        <w:spacing w:before="0" w:after="0" w:line="240" w:lineRule="auto"/>
        <w:ind w:left="0" w:right="0" w:firstLine="720"/>
        <w:jc w:val="both"/>
        <w:sectPr>
          <w:headerReference w:type="default" r:id="rId9"/>
          <w:footnotePr>
            <w:pos w:val="pageBottom"/>
            <w:numFmt w:val="decimal"/>
            <w:numRestart w:val="continuous"/>
          </w:footnotePr>
          <w:type w:val="continuous"/>
          <w:pgSz w:w="11900" w:h="16840"/>
          <w:pgMar w:top="943" w:right="635" w:bottom="776" w:left="970" w:header="515" w:footer="348"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пункту 2 части 22 статьи 99 Закона о контрактной системе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Частью 4.1 сатьи 7.30 Кодекса Российской Федерации об административных правонарушениях (далее - КоАП РФ) за 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законодательством Российской Федерации о контрактной системе в сфере закупок, или включение в состав одного лота, объекта закупки товаров, работ, услуг, технологически и функционально не связанных между собой, установлена административная ответственность.</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В действиях должностного лица Заказчика имеются признаки состава административного правонарушения, ответственность за которое предусмотрена частью 4.1 статьи 7.30 КоАП РФ.</w:t>
      </w:r>
    </w:p>
    <w:p>
      <w:pPr>
        <w:pStyle w:val="Style2"/>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Выявленные Комиссией УФАС при рассмотрении жалобы нарушения требуют выдачи обязательные для исполнения предписания об устранении таких нарушений.</w:t>
      </w:r>
    </w:p>
    <w:p>
      <w:pPr>
        <w:pStyle w:val="Style2"/>
        <w:keepNext w:val="0"/>
        <w:keepLines w:val="0"/>
        <w:widowControl w:val="0"/>
        <w:shd w:val="clear" w:color="auto" w:fill="auto"/>
        <w:bidi w:val="0"/>
        <w:spacing w:before="0" w:after="260" w:line="252"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УФАС, руководствуясь статьями 99, 106 Закона о контрактной системе,</w:t>
      </w:r>
    </w:p>
    <w:p>
      <w:pPr>
        <w:pStyle w:val="Style10"/>
        <w:keepNext/>
        <w:keepLines/>
        <w:widowControl w:val="0"/>
        <w:shd w:val="clear" w:color="auto" w:fill="auto"/>
        <w:bidi w:val="0"/>
        <w:spacing w:before="0" w:after="260" w:line="252" w:lineRule="auto"/>
        <w:ind w:left="0" w:right="0" w:firstLine="0"/>
        <w:jc w:val="center"/>
      </w:pPr>
      <w:bookmarkStart w:id="16" w:name="bookmark16"/>
      <w:r>
        <w:rPr>
          <w:color w:val="000000"/>
          <w:spacing w:val="0"/>
          <w:w w:val="100"/>
          <w:position w:val="0"/>
          <w:sz w:val="24"/>
          <w:szCs w:val="24"/>
          <w:shd w:val="clear" w:color="auto" w:fill="auto"/>
          <w:lang w:val="ru-RU" w:eastAsia="ru-RU" w:bidi="ru-RU"/>
        </w:rPr>
        <w:t>РЕШИЛА:</w:t>
      </w:r>
      <w:bookmarkEnd w:id="16"/>
    </w:p>
    <w:p>
      <w:pPr>
        <w:pStyle w:val="Style2"/>
        <w:keepNext w:val="0"/>
        <w:keepLines w:val="0"/>
        <w:widowControl w:val="0"/>
        <w:numPr>
          <w:ilvl w:val="0"/>
          <w:numId w:val="3"/>
        </w:numPr>
        <w:shd w:val="clear" w:color="auto" w:fill="auto"/>
        <w:tabs>
          <w:tab w:pos="1395" w:val="left"/>
          <w:tab w:pos="140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обоснованной.</w:t>
      </w:r>
    </w:p>
    <w:p>
      <w:pPr>
        <w:pStyle w:val="Style2"/>
        <w:keepNext w:val="0"/>
        <w:keepLines w:val="0"/>
        <w:widowControl w:val="0"/>
        <w:numPr>
          <w:ilvl w:val="0"/>
          <w:numId w:val="3"/>
        </w:numPr>
        <w:shd w:val="clear" w:color="auto" w:fill="auto"/>
        <w:tabs>
          <w:tab w:pos="139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Заказчика признать нарушившим статьи 8, 33, 42 Закона о контрактной системе.</w:t>
      </w:r>
    </w:p>
    <w:p>
      <w:pPr>
        <w:pStyle w:val="Style2"/>
        <w:keepNext w:val="0"/>
        <w:keepLines w:val="0"/>
        <w:widowControl w:val="0"/>
        <w:numPr>
          <w:ilvl w:val="0"/>
          <w:numId w:val="3"/>
        </w:numPr>
        <w:shd w:val="clear" w:color="auto" w:fill="auto"/>
        <w:tabs>
          <w:tab w:pos="1395" w:val="left"/>
          <w:tab w:pos="140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w:t>
      </w:r>
    </w:p>
    <w:p>
      <w:pPr>
        <w:pStyle w:val="Style2"/>
        <w:keepNext w:val="0"/>
        <w:keepLines w:val="0"/>
        <w:widowControl w:val="0"/>
        <w:numPr>
          <w:ilvl w:val="0"/>
          <w:numId w:val="3"/>
        </w:numPr>
        <w:shd w:val="clear" w:color="auto" w:fill="auto"/>
        <w:tabs>
          <w:tab w:pos="139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Передать материалы настоящей жалобы уполномоченному должностному лицу для рассмотрения вопроса о возбуждении административного производства.</w:t>
      </w:r>
    </w:p>
    <w:p>
      <w:pPr>
        <w:pStyle w:val="Style2"/>
        <w:keepNext w:val="0"/>
        <w:keepLines w:val="0"/>
        <w:widowControl w:val="0"/>
        <w:numPr>
          <w:ilvl w:val="0"/>
          <w:numId w:val="3"/>
        </w:numPr>
        <w:shd w:val="clear" w:color="auto" w:fill="auto"/>
        <w:tabs>
          <w:tab w:pos="1395" w:val="left"/>
        </w:tabs>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Заказчику в срок не позднее 09.10.2024 представить в адрес Управления в отношении должностного лица, ответственного за составление описания объекта закупки надлежаще заверенные копии следующих документов: паспорт (первые две страницы и прописка); документ о назначении на должность; трудовой договор (контракт); должностную инструкцию (регламент) (с отметкой об ознакомлении); акты, регламентирующие состав и порядок деятельности комиссии по осуществлению закупки; письменные объяснения (статья 26.3 КоАП РФ) и иные документы (сведения), которые сочтете необходимым приобщить к возбуждаемому делу об административном правонарушении.</w:t>
      </w:r>
    </w:p>
    <w:p>
      <w:pPr>
        <w:pStyle w:val="Style2"/>
        <w:keepNext w:val="0"/>
        <w:keepLines w:val="0"/>
        <w:widowControl w:val="0"/>
        <w:shd w:val="clear" w:color="auto" w:fill="auto"/>
        <w:bidi w:val="0"/>
        <w:spacing w:before="0" w:after="520" w:line="259" w:lineRule="auto"/>
        <w:ind w:left="0" w:right="0" w:firstLine="720"/>
        <w:jc w:val="both"/>
      </w:pPr>
      <w:r>
        <w:rPr>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tabs>
          <w:tab w:pos="5908" w:val="left"/>
          <w:tab w:pos="7378" w:val="left"/>
        </w:tabs>
        <w:bidi w:val="0"/>
        <w:spacing w:before="0" w:after="260" w:line="259"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 УФАС</w:t>
        <w:tab/>
      </w:r>
      <w:r>
        <w:rPr>
          <w:color w:val="222B67"/>
          <w:spacing w:val="0"/>
          <w:w w:val="100"/>
          <w:position w:val="0"/>
          <w:sz w:val="24"/>
          <w:szCs w:val="24"/>
          <w:shd w:val="clear" w:color="auto" w:fill="auto"/>
          <w:lang w:val="ru-RU" w:eastAsia="ru-RU" w:bidi="ru-RU"/>
        </w:rPr>
        <w:t>'Л</w:t>
        <w:tab/>
      </w:r>
      <w:r>
        <w:rPr>
          <w:color w:val="000000"/>
          <w:spacing w:val="0"/>
          <w:w w:val="100"/>
          <w:position w:val="0"/>
          <w:sz w:val="24"/>
          <w:szCs w:val="24"/>
          <w:shd w:val="clear" w:color="auto" w:fill="auto"/>
          <w:lang w:val="ru-RU" w:eastAsia="ru-RU" w:bidi="ru-RU"/>
        </w:rPr>
        <w:t>О.Н. Сучков</w:t>
      </w:r>
    </w:p>
    <w:p>
      <w:pPr>
        <w:pStyle w:val="Style2"/>
        <w:keepNext w:val="0"/>
        <w:keepLines w:val="0"/>
        <w:widowControl w:val="0"/>
        <w:shd w:val="clear" w:color="auto" w:fill="auto"/>
        <w:tabs>
          <w:tab w:pos="4853" w:val="left"/>
          <w:tab w:pos="7378" w:val="left"/>
        </w:tabs>
        <w:bidi w:val="0"/>
        <w:spacing w:before="0" w:after="260" w:line="259" w:lineRule="auto"/>
        <w:ind w:left="0" w:right="0" w:firstLine="0"/>
        <w:jc w:val="both"/>
      </w:pPr>
      <w:r>
        <w:rPr>
          <w:color w:val="000000"/>
          <w:spacing w:val="0"/>
          <w:w w:val="100"/>
          <w:position w:val="0"/>
          <w:sz w:val="24"/>
          <w:szCs w:val="24"/>
          <w:shd w:val="clear" w:color="auto" w:fill="auto"/>
          <w:lang w:val="ru-RU" w:eastAsia="ru-RU" w:bidi="ru-RU"/>
        </w:rPr>
        <w:t>Члены Комиссии УФАС:</w:t>
        <w:tab/>
      </w:r>
      <w:r>
        <w:rPr>
          <w:color w:val="5962AF"/>
          <w:spacing w:val="0"/>
          <w:w w:val="100"/>
          <w:position w:val="0"/>
          <w:sz w:val="24"/>
          <w:szCs w:val="24"/>
          <w:shd w:val="clear" w:color="auto" w:fill="auto"/>
          <w:lang w:val="ru-RU" w:eastAsia="ru-RU" w:bidi="ru-RU"/>
        </w:rPr>
        <w:t>/</w:t>
        <w:tab/>
      </w:r>
      <w:r>
        <w:rPr>
          <w:color w:val="000000"/>
          <w:spacing w:val="0"/>
          <w:w w:val="100"/>
          <w:position w:val="0"/>
          <w:sz w:val="24"/>
          <w:szCs w:val="24"/>
          <w:shd w:val="clear" w:color="auto" w:fill="auto"/>
          <w:lang w:val="ru-RU" w:eastAsia="ru-RU" w:bidi="ru-RU"/>
        </w:rPr>
        <w:t>И.А. Смышляева</w:t>
      </w:r>
    </w:p>
    <w:p>
      <w:pPr>
        <w:pStyle w:val="Style2"/>
        <w:keepNext w:val="0"/>
        <w:keepLines w:val="0"/>
        <w:widowControl w:val="0"/>
        <w:shd w:val="clear" w:color="auto" w:fill="auto"/>
        <w:bidi w:val="0"/>
        <w:spacing w:before="0" w:after="260" w:line="240" w:lineRule="auto"/>
        <w:ind w:left="0" w:right="820" w:firstLine="0"/>
        <w:jc w:val="right"/>
      </w:pPr>
      <w:r>
        <w:rPr>
          <w:color w:val="000000"/>
          <w:spacing w:val="0"/>
          <w:w w:val="100"/>
          <w:position w:val="0"/>
          <w:sz w:val="24"/>
          <w:szCs w:val="24"/>
          <w:shd w:val="clear" w:color="auto" w:fill="auto"/>
          <w:lang w:val="ru-RU" w:eastAsia="ru-RU" w:bidi="ru-RU"/>
        </w:rPr>
        <w:t>Е.А. Косоногова</w:t>
      </w:r>
    </w:p>
    <w:sectPr>
      <w:headerReference w:type="default" r:id="rId10"/>
      <w:footnotePr>
        <w:pos w:val="pageBottom"/>
        <w:numFmt w:val="decimal"/>
        <w:numRestart w:val="continuous"/>
      </w:footnotePr>
      <w:type w:val="continuous"/>
      <w:pgSz w:w="11900" w:h="16840"/>
      <w:pgMar w:top="943" w:right="635" w:bottom="776" w:left="970" w:header="0" w:footer="348"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7032625</wp:posOffset>
              </wp:positionH>
              <wp:positionV relativeFrom="page">
                <wp:posOffset>432435</wp:posOffset>
              </wp:positionV>
              <wp:extent cx="50165" cy="86995"/>
              <wp:wrapNone/>
              <wp:docPr id="3" name="Shape 3"/>
              <a:graphic xmlns:a="http://schemas.openxmlformats.org/drawingml/2006/main">
                <a:graphicData uri="http://schemas.microsoft.com/office/word/2010/wordprocessingShape">
                  <wps:wsp>
                    <wps:cNvSpPr txBox="1"/>
                    <wps:spPr>
                      <a:xfrm>
                        <a:ext cx="50165" cy="8699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3.75pt;margin-top:34.049999999999997pt;width:3.9500000000000002pt;height:6.8500000000000005pt;z-index:-18874406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7032625</wp:posOffset>
              </wp:positionH>
              <wp:positionV relativeFrom="page">
                <wp:posOffset>432435</wp:posOffset>
              </wp:positionV>
              <wp:extent cx="50165" cy="86995"/>
              <wp:wrapNone/>
              <wp:docPr id="7" name="Shape 7"/>
              <a:graphic xmlns:a="http://schemas.openxmlformats.org/drawingml/2006/main">
                <a:graphicData uri="http://schemas.microsoft.com/office/word/2010/wordprocessingShape">
                  <wps:wsp>
                    <wps:cNvSpPr txBox="1"/>
                    <wps:spPr>
                      <a:xfrm>
                        <a:ext cx="50165" cy="8699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553.75pt;margin-top:34.049999999999997pt;width:3.9500000000000002pt;height:6.8500000000000005pt;z-index:-188744060;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7">
    <w:name w:val="Заголовок №1_"/>
    <w:basedOn w:val="DefaultParagraphFont"/>
    <w:link w:val="Style6"/>
    <w:rPr>
      <w:rFonts w:ascii="Times New Roman" w:eastAsia="Times New Roman" w:hAnsi="Times New Roman" w:cs="Times New Roman"/>
      <w:b w:val="0"/>
      <w:bCs w:val="0"/>
      <w:i w:val="0"/>
      <w:iCs w:val="0"/>
      <w:smallCaps w:val="0"/>
      <w:strike w:val="0"/>
      <w:sz w:val="26"/>
      <w:szCs w:val="26"/>
      <w:u w:val="none"/>
    </w:rPr>
  </w:style>
  <w:style w:type="character" w:customStyle="1" w:styleId="CharStyle11">
    <w:name w:val="Заголовок №2_"/>
    <w:basedOn w:val="DefaultParagraphFont"/>
    <w:link w:val="Style10"/>
    <w:rPr>
      <w:rFonts w:ascii="Times New Roman" w:eastAsia="Times New Roman" w:hAnsi="Times New Roman" w:cs="Times New Roman"/>
      <w:b/>
      <w:bCs/>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6">
    <w:name w:val="Заголовок №1"/>
    <w:basedOn w:val="Normal"/>
    <w:link w:val="CharStyle7"/>
    <w:pPr>
      <w:widowControl w:val="0"/>
      <w:shd w:val="clear" w:color="auto" w:fill="auto"/>
      <w:spacing w:after="28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10">
    <w:name w:val="Заголовок №2"/>
    <w:basedOn w:val="Normal"/>
    <w:link w:val="CharStyle11"/>
    <w:pPr>
      <w:widowControl w:val="0"/>
      <w:shd w:val="clear" w:color="auto" w:fill="auto"/>
      <w:spacing w:after="130"/>
      <w:ind w:left="2830"/>
      <w:outlineLvl w:val="1"/>
    </w:pPr>
    <w:rPr>
      <w:rFonts w:ascii="Times New Roman" w:eastAsia="Times New Roman" w:hAnsi="Times New Roman" w:cs="Times New Roman"/>
      <w:b/>
      <w:bCs/>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s>
</file>