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15895" distL="1169035" distR="1260475" simplePos="0" relativeHeight="125829378" behindDoc="0" locked="0" layoutInCell="1" allowOverlap="1">
            <wp:simplePos x="0" y="0"/>
            <wp:positionH relativeFrom="page">
              <wp:posOffset>1778635</wp:posOffset>
            </wp:positionH>
            <wp:positionV relativeFrom="paragraph">
              <wp:posOffset>12700</wp:posOffset>
            </wp:positionV>
            <wp:extent cx="530225" cy="62166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21665"/>
                    </a:xfrm>
                    <a:prstGeom prst="rect"/>
                  </pic:spPr>
                </pic:pic>
              </a:graphicData>
            </a:graphic>
          </wp:anchor>
        </w:drawing>
      </w:r>
      <w:r>
        <mc:AlternateContent>
          <mc:Choice Requires="wps">
            <w:drawing>
              <wp:anchor distT="716280" distB="2331720" distL="510540" distR="605155" simplePos="0" relativeHeight="125829379" behindDoc="0" locked="0" layoutInCell="1" allowOverlap="1">
                <wp:simplePos x="0" y="0"/>
                <wp:positionH relativeFrom="page">
                  <wp:posOffset>1120140</wp:posOffset>
                </wp:positionH>
                <wp:positionV relativeFrom="paragraph">
                  <wp:posOffset>728980</wp:posOffset>
                </wp:positionV>
                <wp:extent cx="1840865" cy="286385"/>
                <wp:wrapSquare wrapText="right"/>
                <wp:docPr id="3" name="Shape 3"/>
                <a:graphic xmlns:a="http://schemas.openxmlformats.org/drawingml/2006/main">
                  <a:graphicData uri="http://schemas.microsoft.com/office/word/2010/wordprocessingShape">
                    <wps:wsp>
                      <wps:cNvSpPr txBox="1"/>
                      <wps:spPr>
                        <a:xfrm>
                          <a:ext cx="1840865" cy="2863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88.200000000000003pt;margin-top:57.399999999999999pt;width:144.95000000000002pt;height:22.550000000000001pt;z-index:-125829374;mso-wrap-distance-left:40.200000000000003pt;mso-wrap-distance-top:56.399999999999999pt;mso-wrap-distance-right:47.649999999999999pt;mso-wrap-distance-bottom:183.5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1100455" distB="1791970" distL="312420" distR="397510" simplePos="0" relativeHeight="125829381" behindDoc="0" locked="0" layoutInCell="1" allowOverlap="1">
                <wp:simplePos x="0" y="0"/>
                <wp:positionH relativeFrom="page">
                  <wp:posOffset>922020</wp:posOffset>
                </wp:positionH>
                <wp:positionV relativeFrom="paragraph">
                  <wp:posOffset>1113155</wp:posOffset>
                </wp:positionV>
                <wp:extent cx="2246630" cy="441960"/>
                <wp:wrapSquare wrapText="right"/>
                <wp:docPr id="5" name="Shape 5"/>
                <a:graphic xmlns:a="http://schemas.openxmlformats.org/drawingml/2006/main">
                  <a:graphicData uri="http://schemas.microsoft.com/office/word/2010/wordprocessingShape">
                    <wps:wsp>
                      <wps:cNvSpPr txBox="1"/>
                      <wps:spPr>
                        <a:xfrm>
                          <a:ext cx="2246630" cy="44196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4B6294"/>
                                <w:spacing w:val="0"/>
                                <w:w w:val="100"/>
                                <w:position w:val="0"/>
                                <w:shd w:val="clear" w:color="auto" w:fill="auto"/>
                                <w:lang w:val="ru-RU" w:eastAsia="ru-RU" w:bidi="ru-RU"/>
                              </w:rPr>
                              <w:t>УПРАВЛЕНИЕ</w:t>
                              <w:br/>
                              <w:t>Федеральной антимонопольной службы</w:t>
                              <w:br/>
                              <w:t>по Смоленской области</w:t>
                            </w:r>
                          </w:p>
                        </w:txbxContent>
                      </wps:txbx>
                      <wps:bodyPr lIns="0" tIns="0" rIns="0" bIns="0">
                        <a:noAutoFit/>
                      </wps:bodyPr>
                    </wps:wsp>
                  </a:graphicData>
                </a:graphic>
              </wp:anchor>
            </w:drawing>
          </mc:Choice>
          <mc:Fallback>
            <w:pict>
              <v:shape id="_x0000_s1031" type="#_x0000_t202" style="position:absolute;margin-left:72.600000000000009pt;margin-top:87.650000000000006pt;width:176.90000000000001pt;height:34.800000000000004pt;z-index:-125829372;mso-wrap-distance-left:24.600000000000001pt;mso-wrap-distance-top:86.650000000000006pt;mso-wrap-distance-right:31.300000000000001pt;mso-wrap-distance-bottom:141.0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4B6294"/>
                          <w:spacing w:val="0"/>
                          <w:w w:val="100"/>
                          <w:position w:val="0"/>
                          <w:shd w:val="clear" w:color="auto" w:fill="auto"/>
                          <w:lang w:val="ru-RU" w:eastAsia="ru-RU" w:bidi="ru-RU"/>
                        </w:rPr>
                        <w:t>УПРАВЛЕНИЕ</w:t>
                        <w:br/>
                        <w:t>Федеральной антимонопольной службы</w:t>
                        <w:br/>
                        <w:t>по Смоленской области</w:t>
                      </w:r>
                    </w:p>
                  </w:txbxContent>
                </v:textbox>
                <w10:wrap type="square" side="right" anchorx="page"/>
              </v:shape>
            </w:pict>
          </mc:Fallback>
        </mc:AlternateContent>
      </w:r>
      <w:r>
        <mc:AlternateContent>
          <mc:Choice Requires="wps">
            <w:drawing>
              <wp:anchor distT="1783080" distB="557530" distL="114300" distR="114300" simplePos="0" relativeHeight="125829383" behindDoc="0" locked="0" layoutInCell="1" allowOverlap="1">
                <wp:simplePos x="0" y="0"/>
                <wp:positionH relativeFrom="page">
                  <wp:posOffset>723900</wp:posOffset>
                </wp:positionH>
                <wp:positionV relativeFrom="paragraph">
                  <wp:posOffset>1795780</wp:posOffset>
                </wp:positionV>
                <wp:extent cx="2727960" cy="993775"/>
                <wp:wrapSquare wrapText="right"/>
                <wp:docPr id="7" name="Shape 7"/>
                <a:graphic xmlns:a="http://schemas.openxmlformats.org/drawingml/2006/main">
                  <a:graphicData uri="http://schemas.microsoft.com/office/word/2010/wordprocessingShape">
                    <wps:wsp>
                      <wps:cNvSpPr txBox="1"/>
                      <wps:spPr>
                        <a:xfrm>
                          <a:ext cx="2727960" cy="993775"/>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Октябрьской Революции, 14а, г. Смоленск, 214000</w:t>
                              <w:br/>
                              <w:t>тел.(4812) 38-62-22, факс (4812) 38-62-22</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1о67@Га8.§оу.ги</w:t>
                            </w:r>
                            <w:r>
                              <w:fldChar w:fldCharType="end"/>
                            </w:r>
                          </w:p>
                          <w:p>
                            <w:pPr>
                              <w:pStyle w:val="Style8"/>
                              <w:keepNext w:val="0"/>
                              <w:keepLines w:val="0"/>
                              <w:widowControl w:val="0"/>
                              <w:shd w:val="clear" w:color="auto" w:fill="auto"/>
                              <w:tabs>
                                <w:tab w:pos="1843" w:val="left"/>
                              </w:tabs>
                              <w:bidi w:val="0"/>
                              <w:spacing w:before="0" w:line="240" w:lineRule="auto"/>
                              <w:ind w:left="0" w:right="0" w:firstLine="0"/>
                              <w:jc w:val="left"/>
                            </w:pPr>
                            <w:r>
                              <w:rPr>
                                <w:color w:val="000000"/>
                                <w:spacing w:val="0"/>
                                <w:w w:val="100"/>
                                <w:position w:val="0"/>
                                <w:shd w:val="clear" w:color="auto" w:fill="auto"/>
                                <w:lang w:val="ru-RU" w:eastAsia="ru-RU" w:bidi="ru-RU"/>
                              </w:rPr>
                              <w:t>27.09.2024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ВШ/4058/2</w:t>
                            </w:r>
                            <w:r>
                              <w:rPr>
                                <w:color w:val="000000"/>
                                <w:spacing w:val="0"/>
                                <w:w w:val="100"/>
                                <w:position w:val="0"/>
                                <w:u w:val="none"/>
                                <w:shd w:val="clear" w:color="auto" w:fill="auto"/>
                                <w:lang w:val="ru-RU" w:eastAsia="ru-RU" w:bidi="ru-RU"/>
                              </w:rPr>
                              <w:t>4</w:t>
                            </w:r>
                          </w:p>
                          <w:p>
                            <w:pPr>
                              <w:pStyle w:val="Style5"/>
                              <w:keepNext w:val="0"/>
                              <w:keepLines w:val="0"/>
                              <w:widowControl w:val="0"/>
                              <w:shd w:val="clear" w:color="auto" w:fill="auto"/>
                              <w:bidi w:val="0"/>
                              <w:spacing w:before="0" w:after="0" w:line="240" w:lineRule="auto"/>
                              <w:ind w:left="0" w:right="0" w:firstLine="0"/>
                              <w:jc w:val="left"/>
                              <w:rPr>
                                <w:sz w:val="18"/>
                                <w:szCs w:val="18"/>
                              </w:rPr>
                            </w:pPr>
                            <w:r>
                              <w:rPr>
                                <w:color w:val="4B6294"/>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pt;margin-top:141.40000000000001pt;width:214.80000000000001pt;height:78.25pt;z-index:-125829370;mso-wrap-distance-left:9.pt;mso-wrap-distance-top:140.40000000000001pt;mso-wrap-distance-right:9.pt;mso-wrap-distance-bottom:43.899999999999999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Октябрьской Революции, 14а, г. Смоленск, 214000</w:t>
                        <w:br/>
                        <w:t>тел.(4812) 38-62-22, факс (4812) 38-62-22</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1о67@Га8.§оу.ги</w:t>
                      </w:r>
                      <w:r>
                        <w:fldChar w:fldCharType="end"/>
                      </w:r>
                    </w:p>
                    <w:p>
                      <w:pPr>
                        <w:pStyle w:val="Style8"/>
                        <w:keepNext w:val="0"/>
                        <w:keepLines w:val="0"/>
                        <w:widowControl w:val="0"/>
                        <w:shd w:val="clear" w:color="auto" w:fill="auto"/>
                        <w:tabs>
                          <w:tab w:pos="1843" w:val="left"/>
                        </w:tabs>
                        <w:bidi w:val="0"/>
                        <w:spacing w:before="0" w:line="240" w:lineRule="auto"/>
                        <w:ind w:left="0" w:right="0" w:firstLine="0"/>
                        <w:jc w:val="left"/>
                      </w:pPr>
                      <w:r>
                        <w:rPr>
                          <w:color w:val="000000"/>
                          <w:spacing w:val="0"/>
                          <w:w w:val="100"/>
                          <w:position w:val="0"/>
                          <w:shd w:val="clear" w:color="auto" w:fill="auto"/>
                          <w:lang w:val="ru-RU" w:eastAsia="ru-RU" w:bidi="ru-RU"/>
                        </w:rPr>
                        <w:t>27.09.2024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ВШ/4058/2</w:t>
                      </w:r>
                      <w:r>
                        <w:rPr>
                          <w:color w:val="000000"/>
                          <w:spacing w:val="0"/>
                          <w:w w:val="100"/>
                          <w:position w:val="0"/>
                          <w:u w:val="none"/>
                          <w:shd w:val="clear" w:color="auto" w:fill="auto"/>
                          <w:lang w:val="ru-RU" w:eastAsia="ru-RU" w:bidi="ru-RU"/>
                        </w:rPr>
                        <w:t>4</w:t>
                      </w:r>
                    </w:p>
                    <w:p>
                      <w:pPr>
                        <w:pStyle w:val="Style5"/>
                        <w:keepNext w:val="0"/>
                        <w:keepLines w:val="0"/>
                        <w:widowControl w:val="0"/>
                        <w:shd w:val="clear" w:color="auto" w:fill="auto"/>
                        <w:bidi w:val="0"/>
                        <w:spacing w:before="0" w:after="0" w:line="240" w:lineRule="auto"/>
                        <w:ind w:left="0" w:right="0" w:firstLine="0"/>
                        <w:jc w:val="left"/>
                        <w:rPr>
                          <w:sz w:val="18"/>
                          <w:szCs w:val="18"/>
                        </w:rPr>
                      </w:pPr>
                      <w:r>
                        <w:rPr>
                          <w:color w:val="4B6294"/>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3145790" distB="0" distL="156845" distR="2199005" simplePos="0" relativeHeight="125829385" behindDoc="0" locked="0" layoutInCell="1" allowOverlap="1">
                <wp:simplePos x="0" y="0"/>
                <wp:positionH relativeFrom="page">
                  <wp:posOffset>766445</wp:posOffset>
                </wp:positionH>
                <wp:positionV relativeFrom="paragraph">
                  <wp:posOffset>3158490</wp:posOffset>
                </wp:positionV>
                <wp:extent cx="600710" cy="189230"/>
                <wp:wrapSquare wrapText="right"/>
                <wp:docPr id="9" name="Shape 9"/>
                <a:graphic xmlns:a="http://schemas.openxmlformats.org/drawingml/2006/main">
                  <a:graphicData uri="http://schemas.microsoft.com/office/word/2010/wordprocessingShape">
                    <wps:wsp>
                      <wps:cNvSpPr txBox="1"/>
                      <wps:spPr>
                        <a:xfrm>
                          <a:ext cx="600710" cy="1892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5" type="#_x0000_t202" style="position:absolute;margin-left:60.350000000000001pt;margin-top:248.70000000000002pt;width:47.300000000000004pt;height:14.9pt;z-index:-125829368;mso-wrap-distance-left:12.35pt;mso-wrap-distance-top:247.70000000000002pt;mso-wrap-distance-right:173.15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v:textbox>
                <w10:wrap type="square" side="right" anchorx="page"/>
              </v:shape>
            </w:pict>
          </mc:Fallback>
        </mc:AlternateContent>
      </w:r>
    </w:p>
    <w:p>
      <w:pPr>
        <w:pStyle w:val="Style12"/>
        <w:keepNext w:val="0"/>
        <w:keepLines w:val="0"/>
        <w:widowControl w:val="0"/>
        <w:shd w:val="clear" w:color="auto" w:fill="auto"/>
        <w:bidi w:val="0"/>
        <w:spacing w:before="0" w:after="0" w:line="240" w:lineRule="auto"/>
        <w:ind w:left="780" w:right="0" w:firstLine="40"/>
        <w:jc w:val="left"/>
      </w:pPr>
      <w:r>
        <w:rPr>
          <w:b/>
          <w:bCs/>
          <w:color w:val="000000"/>
          <w:spacing w:val="0"/>
          <w:w w:val="100"/>
          <w:position w:val="0"/>
          <w:shd w:val="clear" w:color="auto" w:fill="auto"/>
          <w:lang w:val="ru-RU" w:eastAsia="ru-RU" w:bidi="ru-RU"/>
        </w:rPr>
        <w:t>Муниципальный заказчик:</w:t>
      </w:r>
    </w:p>
    <w:p>
      <w:pPr>
        <w:pStyle w:val="Style5"/>
        <w:keepNext w:val="0"/>
        <w:keepLines w:val="0"/>
        <w:widowControl w:val="0"/>
        <w:shd w:val="clear" w:color="auto" w:fill="auto"/>
        <w:bidi w:val="0"/>
        <w:spacing w:before="0" w:line="240" w:lineRule="auto"/>
        <w:ind w:right="0"/>
        <w:jc w:val="left"/>
      </w:pPr>
      <w:r>
        <w:rPr>
          <w:color w:val="000000"/>
          <w:spacing w:val="0"/>
          <w:w w:val="100"/>
          <w:position w:val="0"/>
          <w:sz w:val="26"/>
          <w:szCs w:val="26"/>
          <w:shd w:val="clear" w:color="auto" w:fill="auto"/>
          <w:lang w:val="ru-RU" w:eastAsia="ru-RU" w:bidi="ru-RU"/>
        </w:rPr>
        <w:t xml:space="preserve">МБУК КТ «Районный дом культуры» МО «Смоленский район» Смоленской области </w:t>
      </w:r>
      <w:r>
        <w:rPr>
          <w:color w:val="000000"/>
          <w:spacing w:val="0"/>
          <w:w w:val="100"/>
          <w:position w:val="0"/>
          <w:shd w:val="clear" w:color="auto" w:fill="auto"/>
          <w:lang w:val="ru-RU" w:eastAsia="ru-RU" w:bidi="ru-RU"/>
        </w:rPr>
        <w:t xml:space="preserve">ул. Спортивная, д.2, с. Пригорское, Смоленская об л., 214518 </w:t>
      </w:r>
      <w:r>
        <w:fldChar w:fldCharType="begin"/>
      </w:r>
      <w:r>
        <w:rPr/>
        <w:instrText> HYPERLINK "mailto:irasha28@mail.ru" </w:instrText>
      </w:r>
      <w:r>
        <w:fldChar w:fldCharType="separate"/>
      </w:r>
      <w:r>
        <w:rPr>
          <w:color w:val="000000"/>
          <w:spacing w:val="0"/>
          <w:w w:val="100"/>
          <w:position w:val="0"/>
          <w:shd w:val="clear" w:color="auto" w:fill="auto"/>
          <w:lang w:val="ru-RU" w:eastAsia="ru-RU" w:bidi="ru-RU"/>
        </w:rPr>
        <w:t>1га811а28@таП.П1</w:t>
      </w:r>
      <w:r>
        <w:fldChar w:fldCharType="end"/>
      </w:r>
    </w:p>
    <w:p>
      <w:pPr>
        <w:pStyle w:val="Style12"/>
        <w:keepNext w:val="0"/>
        <w:keepLines w:val="0"/>
        <w:widowControl w:val="0"/>
        <w:shd w:val="clear" w:color="auto" w:fill="auto"/>
        <w:bidi w:val="0"/>
        <w:spacing w:before="0" w:after="0" w:line="240" w:lineRule="auto"/>
        <w:ind w:left="780" w:right="0" w:firstLine="40"/>
        <w:jc w:val="left"/>
      </w:pPr>
      <w:r>
        <w:rPr>
          <w:b/>
          <w:bCs/>
          <w:color w:val="000000"/>
          <w:spacing w:val="0"/>
          <w:w w:val="100"/>
          <w:position w:val="0"/>
          <w:shd w:val="clear" w:color="auto" w:fill="auto"/>
          <w:lang w:val="ru-RU" w:eastAsia="ru-RU" w:bidi="ru-RU"/>
        </w:rPr>
        <w:t>Заявитель:</w:t>
      </w:r>
    </w:p>
    <w:p>
      <w:pPr>
        <w:pStyle w:val="Style12"/>
        <w:keepNext w:val="0"/>
        <w:keepLines w:val="0"/>
        <w:widowControl w:val="0"/>
        <w:shd w:val="clear" w:color="auto" w:fill="auto"/>
        <w:bidi w:val="0"/>
        <w:spacing w:before="0" w:after="0" w:line="240" w:lineRule="auto"/>
        <w:ind w:left="780" w:right="0" w:firstLine="40"/>
        <w:jc w:val="left"/>
      </w:pPr>
      <w:r>
        <w:rPr>
          <w:color w:val="000000"/>
          <w:spacing w:val="0"/>
          <w:w w:val="100"/>
          <w:position w:val="0"/>
          <w:shd w:val="clear" w:color="auto" w:fill="auto"/>
          <w:lang w:val="ru-RU" w:eastAsia="ru-RU" w:bidi="ru-RU"/>
        </w:rPr>
        <w:t>ИП Пономарев М.Д.</w:t>
      </w:r>
    </w:p>
    <w:p>
      <w:pPr>
        <w:pStyle w:val="Style5"/>
        <w:keepNext w:val="0"/>
        <w:keepLines w:val="0"/>
        <w:widowControl w:val="0"/>
        <w:shd w:val="clear" w:color="auto" w:fill="auto"/>
        <w:bidi w:val="0"/>
        <w:spacing w:before="0" w:line="240" w:lineRule="auto"/>
        <w:ind w:right="0"/>
        <w:jc w:val="left"/>
      </w:pPr>
      <w:r>
        <w:rPr>
          <w:color w:val="000000"/>
          <w:spacing w:val="0"/>
          <w:w w:val="100"/>
          <w:position w:val="0"/>
          <w:shd w:val="clear" w:color="auto" w:fill="auto"/>
          <w:lang w:val="ru-RU" w:eastAsia="ru-RU" w:bidi="ru-RU"/>
        </w:rPr>
        <w:t>пер. Дзержинского, д. 20, кв.97, г. Хабаровск, Хабаровский край, 680020 а</w:t>
      </w:r>
      <w:r>
        <w:fldChar w:fldCharType="begin"/>
      </w:r>
      <w:r>
        <w:rPr/>
        <w:instrText> HYPERLINK "mailto:9251655847@gmail.com" </w:instrText>
      </w:r>
      <w:r>
        <w:fldChar w:fldCharType="separate"/>
      </w:r>
      <w:r>
        <w:rPr>
          <w:color w:val="000000"/>
          <w:spacing w:val="0"/>
          <w:w w:val="100"/>
          <w:position w:val="0"/>
          <w:shd w:val="clear" w:color="auto" w:fill="auto"/>
          <w:lang w:val="ru-RU" w:eastAsia="ru-RU" w:bidi="ru-RU"/>
        </w:rPr>
        <w:t>9251655847?/ дпаИ.сот</w:t>
      </w:r>
      <w:r>
        <w:fldChar w:fldCharType="end"/>
      </w:r>
    </w:p>
    <w:p>
      <w:pPr>
        <w:pStyle w:val="Style12"/>
        <w:keepNext w:val="0"/>
        <w:keepLines w:val="0"/>
        <w:widowControl w:val="0"/>
        <w:shd w:val="clear" w:color="auto" w:fill="auto"/>
        <w:bidi w:val="0"/>
        <w:spacing w:before="0" w:after="0" w:line="240" w:lineRule="auto"/>
        <w:ind w:left="0" w:right="0" w:firstLine="780"/>
        <w:jc w:val="left"/>
      </w:pPr>
      <w:r>
        <w:rPr>
          <w:b/>
          <w:bCs/>
          <w:color w:val="000000"/>
          <w:spacing w:val="0"/>
          <w:w w:val="100"/>
          <w:position w:val="0"/>
          <w:shd w:val="clear" w:color="auto" w:fill="auto"/>
          <w:lang w:val="ru-RU" w:eastAsia="ru-RU" w:bidi="ru-RU"/>
        </w:rPr>
        <w:t>Электронная площадка:</w:t>
      </w:r>
    </w:p>
    <w:p>
      <w:pPr>
        <w:pStyle w:val="Style12"/>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ru-RU" w:eastAsia="ru-RU" w:bidi="ru-RU"/>
        </w:rPr>
        <w:t>АО «Сбербанк-АСТ»</w:t>
      </w:r>
    </w:p>
    <w:p>
      <w:pPr>
        <w:pStyle w:val="Style5"/>
        <w:keepNext w:val="0"/>
        <w:keepLines w:val="0"/>
        <w:widowControl w:val="0"/>
        <w:shd w:val="clear" w:color="auto" w:fill="auto"/>
        <w:bidi w:val="0"/>
        <w:spacing w:before="0" w:after="960" w:line="240" w:lineRule="auto"/>
        <w:ind w:left="0" w:right="0" w:firstLine="780"/>
        <w:jc w:val="left"/>
      </w:pPr>
      <w:r>
        <w:rPr>
          <w:color w:val="000000"/>
          <w:spacing w:val="0"/>
          <w:w w:val="100"/>
          <w:position w:val="0"/>
          <w:shd w:val="clear" w:color="auto" w:fill="auto"/>
          <w:lang w:val="ru-RU" w:eastAsia="ru-RU" w:bidi="ru-RU"/>
        </w:rPr>
        <w:t xml:space="preserve">ко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кЬегЬапк-аЖ.ги</w:t>
      </w:r>
    </w:p>
    <w:p>
      <w:pPr>
        <w:pStyle w:val="Style12"/>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РЕШЕНИЕ</w:t>
        <w:br/>
        <w:t>по делу № 067/06/33-623/2024 о нарушении</w:t>
        <w:br/>
        <w:t>законодательства Российской Федерации о контрактной системе</w:t>
      </w:r>
    </w:p>
    <w:tbl>
      <w:tblPr>
        <w:tblOverlap w:val="never"/>
        <w:jc w:val="left"/>
        <w:tblLayout w:type="fixed"/>
      </w:tblPr>
      <w:tblGrid>
        <w:gridCol w:w="4550"/>
        <w:gridCol w:w="5837"/>
      </w:tblGrid>
      <w:tr>
        <w:trPr>
          <w:trHeight w:val="614" w:hRule="exact"/>
        </w:trPr>
        <w:tc>
          <w:tcPr>
            <w:tcBorders/>
            <w:shd w:val="clear" w:color="auto" w:fill="auto"/>
            <w:vAlign w:val="top"/>
          </w:tcPr>
          <w:p>
            <w:pPr>
              <w:pStyle w:val="Style21"/>
              <w:keepNext w:val="0"/>
              <w:keepLines w:val="0"/>
              <w:framePr w:w="10387" w:h="3706" w:vSpace="653" w:wrap="notBeside" w:vAnchor="text" w:hAnchor="text" w:x="15" w:y="654"/>
              <w:widowControl w:val="0"/>
              <w:shd w:val="clear" w:color="auto" w:fill="auto"/>
              <w:bidi w:val="0"/>
              <w:spacing w:before="0" w:after="0" w:line="240" w:lineRule="auto"/>
              <w:ind w:left="140" w:right="0" w:firstLine="700"/>
              <w:jc w:val="both"/>
            </w:pPr>
            <w:r>
              <w:rPr>
                <w:color w:val="000000"/>
                <w:spacing w:val="0"/>
                <w:w w:val="100"/>
                <w:position w:val="0"/>
                <w:shd w:val="clear" w:color="auto" w:fill="auto"/>
                <w:lang w:val="ru-RU" w:eastAsia="ru-RU" w:bidi="ru-RU"/>
              </w:rPr>
              <w:t>Комиссия Смоленского УФАС Комиссия) в следующем составе:</w:t>
            </w:r>
          </w:p>
        </w:tc>
        <w:tc>
          <w:tcPr>
            <w:tcBorders/>
            <w:shd w:val="clear" w:color="auto" w:fill="auto"/>
            <w:vAlign w:val="top"/>
          </w:tcPr>
          <w:p>
            <w:pPr>
              <w:pStyle w:val="Style21"/>
              <w:keepNext w:val="0"/>
              <w:keepLines w:val="0"/>
              <w:framePr w:w="10387" w:h="3706" w:vSpace="653" w:wrap="notBeside" w:vAnchor="text" w:hAnchor="text" w:x="15" w:y="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России по контролю в сфере закупок (далее -</w:t>
            </w:r>
          </w:p>
        </w:tc>
      </w:tr>
      <w:tr>
        <w:trPr>
          <w:trHeight w:val="1536" w:hRule="exact"/>
        </w:trPr>
        <w:tc>
          <w:tcPr>
            <w:tcBorders/>
            <w:shd w:val="clear" w:color="auto" w:fill="auto"/>
            <w:vAlign w:val="top"/>
          </w:tcPr>
          <w:p>
            <w:pPr>
              <w:pStyle w:val="Style21"/>
              <w:keepNext w:val="0"/>
              <w:keepLines w:val="0"/>
              <w:framePr w:w="10387" w:h="3706" w:vSpace="653" w:wrap="notBeside" w:vAnchor="text" w:hAnchor="text" w:x="15" w:y="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21"/>
              <w:keepNext w:val="0"/>
              <w:keepLines w:val="0"/>
              <w:framePr w:w="10387" w:h="3706" w:vSpace="653" w:wrap="notBeside" w:vAnchor="text" w:hAnchor="text" w:x="15" w:y="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tc>
        <w:tc>
          <w:tcPr>
            <w:tcBorders/>
            <w:shd w:val="clear" w:color="auto" w:fill="auto"/>
            <w:vAlign w:val="bottom"/>
          </w:tcPr>
          <w:p>
            <w:pPr>
              <w:pStyle w:val="Style21"/>
              <w:keepNext w:val="0"/>
              <w:keepLines w:val="0"/>
              <w:framePr w:w="10387" w:h="3706" w:vSpace="653" w:wrap="notBeside" w:vAnchor="text" w:hAnchor="text" w:x="15" w:y="654"/>
              <w:widowControl w:val="0"/>
              <w:shd w:val="clear" w:color="auto" w:fill="auto"/>
              <w:tabs>
                <w:tab w:pos="3140" w:val="left"/>
                <w:tab w:pos="4676" w:val="left"/>
              </w:tabs>
              <w:bidi w:val="0"/>
              <w:spacing w:before="0" w:after="0" w:line="240" w:lineRule="auto"/>
              <w:ind w:left="1460" w:right="0" w:firstLine="0"/>
              <w:jc w:val="both"/>
            </w:pPr>
            <w:r>
              <w:rPr>
                <w:color w:val="000000"/>
                <w:spacing w:val="0"/>
                <w:w w:val="100"/>
                <w:position w:val="0"/>
                <w:shd w:val="clear" w:color="auto" w:fill="auto"/>
                <w:lang w:val="ru-RU" w:eastAsia="ru-RU" w:bidi="ru-RU"/>
              </w:rPr>
              <w:t>- начальник отдела контроля закупок и антимонопольного контроля</w:t>
              <w:tab/>
              <w:t>органов</w:t>
              <w:tab/>
              <w:t>власти</w:t>
            </w:r>
          </w:p>
          <w:p>
            <w:pPr>
              <w:pStyle w:val="Style21"/>
              <w:keepNext w:val="0"/>
              <w:keepLines w:val="0"/>
              <w:framePr w:w="10387" w:h="3706" w:vSpace="653" w:wrap="notBeside" w:vAnchor="text" w:hAnchor="text" w:x="15" w:y="654"/>
              <w:widowControl w:val="0"/>
              <w:shd w:val="clear" w:color="auto" w:fill="auto"/>
              <w:bidi w:val="0"/>
              <w:spacing w:before="0" w:after="0" w:line="240" w:lineRule="auto"/>
              <w:ind w:left="1460" w:right="0" w:firstLine="0"/>
              <w:jc w:val="both"/>
            </w:pPr>
            <w:r>
              <w:rPr>
                <w:color w:val="000000"/>
                <w:spacing w:val="0"/>
                <w:w w:val="100"/>
                <w:position w:val="0"/>
                <w:shd w:val="clear" w:color="auto" w:fill="auto"/>
                <w:lang w:val="ru-RU" w:eastAsia="ru-RU" w:bidi="ru-RU"/>
              </w:rPr>
              <w:t>Смоленского УФАС России;</w:t>
            </w:r>
          </w:p>
        </w:tc>
      </w:tr>
      <w:tr>
        <w:trPr>
          <w:trHeight w:val="1555" w:hRule="exact"/>
        </w:trPr>
        <w:tc>
          <w:tcPr>
            <w:tcBorders/>
            <w:shd w:val="clear" w:color="auto" w:fill="auto"/>
            <w:vAlign w:val="top"/>
          </w:tcPr>
          <w:p>
            <w:pPr>
              <w:pStyle w:val="Style21"/>
              <w:keepNext w:val="0"/>
              <w:keepLines w:val="0"/>
              <w:framePr w:w="10387" w:h="3706" w:vSpace="653" w:wrap="notBeside" w:vAnchor="text" w:hAnchor="text" w:x="15" w:y="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21"/>
              <w:keepNext w:val="0"/>
              <w:keepLines w:val="0"/>
              <w:framePr w:w="10387" w:h="3706" w:vSpace="653" w:wrap="notBeside" w:vAnchor="text" w:hAnchor="text" w:x="15" w:y="654"/>
              <w:widowControl w:val="0"/>
              <w:shd w:val="clear" w:color="auto" w:fill="auto"/>
              <w:bidi w:val="0"/>
              <w:spacing w:before="0" w:after="0" w:line="240" w:lineRule="auto"/>
              <w:ind w:left="1460" w:right="0" w:firstLine="0"/>
              <w:jc w:val="both"/>
            </w:pPr>
            <w:r>
              <w:rPr>
                <w:color w:val="000000"/>
                <w:spacing w:val="0"/>
                <w:w w:val="100"/>
                <w:position w:val="0"/>
                <w:shd w:val="clear" w:color="auto" w:fill="auto"/>
                <w:lang w:val="ru-RU" w:eastAsia="ru-RU" w:bidi="ru-RU"/>
              </w:rPr>
              <w:t>- специалист-эксперт отдела контроля закупок и антимонопольного контроля органов власти Смоленского УФАС России;</w:t>
            </w:r>
          </w:p>
        </w:tc>
      </w:tr>
    </w:tbl>
    <w:p>
      <w:pPr>
        <w:pStyle w:val="Style23"/>
        <w:keepNext w:val="0"/>
        <w:keepLines w:val="0"/>
        <w:framePr w:w="2587" w:h="331" w:hSpace="14" w:wrap="notBeside" w:vAnchor="text" w:hAnchor="text" w:x="159"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24 сентября 2024 года</w:t>
      </w:r>
    </w:p>
    <w:p>
      <w:pPr>
        <w:pStyle w:val="Style23"/>
        <w:keepNext w:val="0"/>
        <w:keepLines w:val="0"/>
        <w:framePr w:w="1406" w:h="322" w:hSpace="14" w:wrap="notBeside" w:vAnchor="text" w:hAnchor="text" w:x="8799" w:y="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Смоленск</w:t>
      </w:r>
    </w:p>
    <w:p>
      <w:pPr>
        <w:widowControl w:val="0"/>
        <w:spacing w:line="1" w:lineRule="exact"/>
      </w:pPr>
    </w:p>
    <w:p>
      <w:pPr>
        <w:pStyle w:val="Style12"/>
        <w:keepNext w:val="0"/>
        <w:keepLines w:val="0"/>
        <w:widowControl w:val="0"/>
        <w:shd w:val="clear" w:color="auto" w:fill="auto"/>
        <w:tabs>
          <w:tab w:pos="1982" w:val="left"/>
          <w:tab w:pos="3830" w:val="left"/>
        </w:tabs>
        <w:bidi w:val="0"/>
        <w:spacing w:before="0" w:after="0" w:line="240" w:lineRule="auto"/>
        <w:ind w:left="0" w:right="0" w:firstLine="6020"/>
        <w:jc w:val="left"/>
      </w:pPr>
      <w:r>
        <w:rPr>
          <w:color w:val="000000"/>
          <w:spacing w:val="0"/>
          <w:w w:val="100"/>
          <w:position w:val="0"/>
          <w:shd w:val="clear" w:color="auto" w:fill="auto"/>
          <w:lang w:val="ru-RU" w:eastAsia="ru-RU" w:bidi="ru-RU"/>
        </w:rPr>
        <w:t>- специалист-эксперт отдела контроля</w:t>
        <w:tab/>
        <w:t>закупок</w:t>
        <w:tab/>
        <w:t>и</w:t>
      </w:r>
    </w:p>
    <w:p>
      <w:pPr>
        <w:pStyle w:val="Style12"/>
        <w:keepNext w:val="0"/>
        <w:keepLines w:val="0"/>
        <w:widowControl w:val="0"/>
        <w:shd w:val="clear" w:color="auto" w:fill="auto"/>
        <w:bidi w:val="0"/>
        <w:spacing w:before="0" w:after="0" w:line="240" w:lineRule="auto"/>
        <w:ind w:left="0" w:right="0" w:firstLine="6020"/>
        <w:jc w:val="left"/>
      </w:pPr>
      <w:r>
        <w:rPr>
          <w:color w:val="000000"/>
          <w:spacing w:val="0"/>
          <w:w w:val="100"/>
          <w:position w:val="0"/>
          <w:shd w:val="clear" w:color="auto" w:fill="auto"/>
          <w:lang w:val="ru-RU" w:eastAsia="ru-RU" w:bidi="ru-RU"/>
        </w:rPr>
        <w:t>антимонопольного контроля органов власти Смоленского УФАС России, при личном участии в рассмотрении жалобы представителя заказчика Свиренковой И.Е. (распоряжение № 8 от 15.0Е2015);</w:t>
      </w:r>
    </w:p>
    <w:p>
      <w:pPr>
        <w:pStyle w:val="Style12"/>
        <w:keepNext w:val="0"/>
        <w:keepLines w:val="0"/>
        <w:widowControl w:val="0"/>
        <w:shd w:val="clear" w:color="auto" w:fill="auto"/>
        <w:bidi w:val="0"/>
        <w:spacing w:before="0" w:after="420" w:line="240" w:lineRule="auto"/>
        <w:ind w:left="0" w:right="0" w:firstLine="780"/>
        <w:jc w:val="left"/>
      </w:pPr>
      <w:r>
        <w:rPr>
          <w:color w:val="000000"/>
          <w:spacing w:val="0"/>
          <w:w w:val="100"/>
          <w:position w:val="0"/>
          <w:shd w:val="clear" w:color="auto" w:fill="auto"/>
          <w:lang w:val="ru-RU" w:eastAsia="ru-RU" w:bidi="ru-RU"/>
        </w:rPr>
        <w:t>в отсутствие заявителя, извещенного о дате, времени и месте рассмотрения</w:t>
      </w:r>
    </w:p>
    <w:p>
      <w:pPr>
        <w:pStyle w:val="Style25"/>
        <w:keepNext/>
        <w:keepLines/>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284" w:right="517" w:bottom="1241" w:left="96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111111111111111111111111</w:t>
      </w:r>
      <w:bookmarkEnd w:id="0"/>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жалобы,</w:t>
      </w:r>
    </w:p>
    <w:p>
      <w:pPr>
        <w:pStyle w:val="Style12"/>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приказом Смоленского УФАС России от 20.08.2024 № 117/24, жалобу Индивидуального предпринимателя Пономарева Михаила Дмитриевича (далее - Заявитель) и проведя внеплановую проверку,</w:t>
      </w:r>
    </w:p>
    <w:p>
      <w:pPr>
        <w:pStyle w:val="Style12"/>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Смоленское УФАС России 17.09.2024 поступила жалоба ИИ Пономарева М.Д., согласно которой Заказчиком при проведении запроса котировок в электронной форме: «Поставка музыкальной и световой аппаратуры для клуба «Днепр» и Мазальцевского СДК - филиалов МБУК КТ «Районный дом культуры» МО «Смоленский район» Смоленской области» (извещение №0363300098824000028) были допущены нарушения Закона, а именно:</w:t>
      </w:r>
    </w:p>
    <w:p>
      <w:pPr>
        <w:pStyle w:val="Style12"/>
        <w:keepNext w:val="0"/>
        <w:keepLines w:val="0"/>
        <w:widowControl w:val="0"/>
        <w:numPr>
          <w:ilvl w:val="0"/>
          <w:numId w:val="1"/>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5, 7,9) в извещении фактически отсутствует надлежащее описание объекта закупки:</w:t>
      </w:r>
    </w:p>
    <w:p>
      <w:pPr>
        <w:pStyle w:val="Style12"/>
        <w:keepNext w:val="0"/>
        <w:keepLines w:val="0"/>
        <w:widowControl w:val="0"/>
        <w:numPr>
          <w:ilvl w:val="0"/>
          <w:numId w:val="3"/>
        </w:numPr>
        <w:shd w:val="clear" w:color="auto" w:fill="auto"/>
        <w:tabs>
          <w:tab w:pos="10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установленным техническим характеристикам закупаемого оборудования соответствует товар единственного производителя;</w:t>
      </w:r>
    </w:p>
    <w:p>
      <w:pPr>
        <w:pStyle w:val="Style12"/>
        <w:keepNext w:val="0"/>
        <w:keepLines w:val="0"/>
        <w:widowControl w:val="0"/>
        <w:numPr>
          <w:ilvl w:val="0"/>
          <w:numId w:val="3"/>
        </w:numPr>
        <w:shd w:val="clear" w:color="auto" w:fill="auto"/>
        <w:tabs>
          <w:tab w:pos="17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установлены избыточные требования к закупаемому товару;</w:t>
      </w:r>
    </w:p>
    <w:p>
      <w:pPr>
        <w:pStyle w:val="Style12"/>
        <w:keepNext w:val="0"/>
        <w:keepLines w:val="0"/>
        <w:widowControl w:val="0"/>
        <w:numPr>
          <w:ilvl w:val="0"/>
          <w:numId w:val="3"/>
        </w:numPr>
        <w:shd w:val="clear" w:color="auto" w:fill="auto"/>
        <w:tabs>
          <w:tab w:pos="10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отсутствует какие-либо требования к закупаемым услугам по сборке и установке оборудования;</w:t>
      </w:r>
    </w:p>
    <w:p>
      <w:pPr>
        <w:pStyle w:val="Style12"/>
        <w:keepNext w:val="0"/>
        <w:keepLines w:val="0"/>
        <w:widowControl w:val="0"/>
        <w:numPr>
          <w:ilvl w:val="0"/>
          <w:numId w:val="3"/>
        </w:numPr>
        <w:shd w:val="clear" w:color="auto" w:fill="auto"/>
        <w:tabs>
          <w:tab w:pos="10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товар, указанный в техническом задании, отличается от товара, в отношении которого была сформирована начальная (максимальная) цена контракта;</w:t>
      </w:r>
    </w:p>
    <w:p>
      <w:pPr>
        <w:pStyle w:val="Style12"/>
        <w:keepNext w:val="0"/>
        <w:keepLines w:val="0"/>
        <w:widowControl w:val="0"/>
        <w:numPr>
          <w:ilvl w:val="0"/>
          <w:numId w:val="3"/>
        </w:numPr>
        <w:shd w:val="clear" w:color="auto" w:fill="auto"/>
        <w:tabs>
          <w:tab w:pos="10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электронной версии извещения отсутствуют требования к характеристикам закупаемых товаров;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8) в соответствии с описанием объекта закупки, Заказчиком при проведении рассматриваемой закупки должны были применяться коды КТРУ 26.40.31.190-00000011 («Акустическая система») и 26.20.17.120-00000001 («Сабвуфер»);</w:t>
      </w:r>
    </w:p>
    <w:p>
      <w:pPr>
        <w:pStyle w:val="Style12"/>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10) не установлены ограничения допуска в соответствии с постановлением Правительства РФ от 10.07.2019 № 878.</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Муниципальным заказчиком по данному запросу котировок в электронной форме является Муниципальное бюджетное учреждение культуры клубного типа «Районный дом культуры» муниципального образования «Смоленский район» Смоленской области (далее - Заказчик).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с доводами жалобы не согласился.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контракт Заказчиком не заключен.</w:t>
      </w:r>
    </w:p>
    <w:p>
      <w:pPr>
        <w:pStyle w:val="Style12"/>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11.09.2024 Заказчиком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\у\у\у.хакирк1.§оу.ги</w:t>
      </w:r>
      <w:r>
        <w:fldChar w:fldCharType="end"/>
      </w:r>
      <w:r>
        <w:rPr>
          <w:color w:val="000000"/>
          <w:spacing w:val="0"/>
          <w:w w:val="100"/>
          <w:position w:val="0"/>
          <w:shd w:val="clear" w:color="auto" w:fill="auto"/>
          <w:lang w:val="ru-RU" w:eastAsia="ru-RU" w:bidi="ru-RU"/>
        </w:rPr>
        <w:t xml:space="preserve"> размещено Извещение №0363300098824000028 о проведении запроса котировок в электронной форме.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(далее - НМЦК) - 1 061 894,00 руб.</w:t>
      </w:r>
    </w:p>
    <w:p>
      <w:pPr>
        <w:pStyle w:val="Style12"/>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№ИЗК1 на участие в закупке заявки подали 3 (три) участника закупки, заявка которых признаны несоответствующими требованиям Извещения.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5 статьи 23 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6 статьи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Правила использования каталога товаров, работ, услуг для обеспечения государственных и муниципальных нужд (далее - Правила использования), утверждены постановлением Правительства РФ от 08.02.2017 № 145.</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2 Правил формирования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Правилами.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12 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7 Правил использования </w:t>
      </w:r>
      <w:r>
        <w:rPr>
          <w:i/>
          <w:iCs/>
          <w:color w:val="000000"/>
          <w:spacing w:val="0"/>
          <w:w w:val="100"/>
          <w:position w:val="0"/>
          <w:shd w:val="clear" w:color="auto" w:fill="auto"/>
          <w:lang w:val="ru-RU" w:eastAsia="ru-RU" w:bidi="ru-RU"/>
        </w:rPr>
        <w:t>(в редакции постановления Правительства РФ от 31.10.2022 №1946; начало действия редакции с 01.10.2023}</w:t>
      </w:r>
      <w:r>
        <w:rPr>
          <w:color w:val="000000"/>
          <w:spacing w:val="0"/>
          <w:w w:val="100"/>
          <w:position w:val="0"/>
          <w:shd w:val="clear" w:color="auto" w:fill="auto"/>
          <w:lang w:val="ru-RU" w:eastAsia="ru-RU" w:bidi="ru-RU"/>
        </w:rPr>
        <w:t xml:space="preserve">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При проведении предусмотренных Закона электронных процедур, закрытых электронных процедур характеристики объекта закупки, предусмотренные пунктом 1 части 1 статьи 33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соответственно.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с 01.10.2023 заказчики должны указывать функциональные, технические, качественные, эксплуатационные характеристики объекта закупки в структурированном виде.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27.01.2022 №60 утверждено Положение о порядке формирования и размещения информации и документов в единой информационной системе в сфере закупок, о требованиях к формам (далее - Положение), пунктом 3 которого установлено, что формирование 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«а» пункта 4 раздела 2 Положения приоритет имеет информация, сформированная с использованием единой информационной системы.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извещение об осуществлении закупки, если иное не предусмотрено Законом, должно содержать описание объекта закупки в соответствии со статьей 33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33 Закона заказчик в случаях, предусмотренных Законом, при описании объекта закупки должен руководствоваться следующими правилами:</w:t>
      </w:r>
    </w:p>
    <w:p>
      <w:pPr>
        <w:pStyle w:val="Style12"/>
        <w:keepNext w:val="0"/>
        <w:keepLines w:val="0"/>
        <w:widowControl w:val="0"/>
        <w:numPr>
          <w:ilvl w:val="0"/>
          <w:numId w:val="5"/>
        </w:numPr>
        <w:shd w:val="clear" w:color="auto" w:fill="auto"/>
        <w:tabs>
          <w:tab w:pos="96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w:t>
      </w:r>
      <w:r>
        <w:rPr>
          <w:color w:val="000000"/>
          <w:spacing w:val="0"/>
          <w:w w:val="100"/>
          <w:position w:val="0"/>
          <w:shd w:val="clear" w:color="auto" w:fill="auto"/>
          <w:lang w:val="ru-RU" w:eastAsia="ru-RU" w:bidi="ru-RU"/>
        </w:rPr>
        <w:t>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(пункт 1);</w:t>
      </w:r>
    </w:p>
    <w:p>
      <w:pPr>
        <w:pStyle w:val="Style12"/>
        <w:keepNext w:val="0"/>
        <w:keepLines w:val="0"/>
        <w:widowControl w:val="0"/>
        <w:numPr>
          <w:ilvl w:val="0"/>
          <w:numId w:val="5"/>
        </w:numPr>
        <w:shd w:val="clear" w:color="auto" w:fill="auto"/>
        <w:tabs>
          <w:tab w:pos="96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2).</w:t>
      </w:r>
    </w:p>
    <w:p>
      <w:pPr>
        <w:pStyle w:val="Style12"/>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рассматриваемой закупки является поставка музыкальной и световой аппаратуры для клуба «Днепр» и Мазальцевского СДК- филиалов МБУК КТ «Районный дом культуры» МО «Смоленский район» Смоленской области.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Извещению Заказчиком прикреплены следующие документы:</w:t>
      </w:r>
    </w:p>
    <w:p>
      <w:pPr>
        <w:pStyle w:val="Style12"/>
        <w:keepNext w:val="0"/>
        <w:keepLines w:val="0"/>
        <w:widowControl w:val="0"/>
        <w:numPr>
          <w:ilvl w:val="0"/>
          <w:numId w:val="5"/>
        </w:numPr>
        <w:shd w:val="clear" w:color="auto" w:fill="auto"/>
        <w:tabs>
          <w:tab w:pos="16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муниципального контракта;</w:t>
      </w:r>
    </w:p>
    <w:p>
      <w:pPr>
        <w:pStyle w:val="Style12"/>
        <w:keepNext w:val="0"/>
        <w:keepLines w:val="0"/>
        <w:widowControl w:val="0"/>
        <w:numPr>
          <w:ilvl w:val="0"/>
          <w:numId w:val="5"/>
        </w:numPr>
        <w:shd w:val="clear" w:color="auto" w:fill="auto"/>
        <w:tabs>
          <w:tab w:pos="16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Техническая характеристика оборудования (далее - ТЗ);</w:t>
      </w:r>
    </w:p>
    <w:p>
      <w:pPr>
        <w:pStyle w:val="Style12"/>
        <w:keepNext w:val="0"/>
        <w:keepLines w:val="0"/>
        <w:widowControl w:val="0"/>
        <w:numPr>
          <w:ilvl w:val="0"/>
          <w:numId w:val="5"/>
        </w:numPr>
        <w:shd w:val="clear" w:color="auto" w:fill="auto"/>
        <w:tabs>
          <w:tab w:pos="16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w:t>
      </w:r>
    </w:p>
    <w:p>
      <w:pPr>
        <w:pStyle w:val="Style12"/>
        <w:keepNext w:val="0"/>
        <w:keepLines w:val="0"/>
        <w:widowControl w:val="0"/>
        <w:numPr>
          <w:ilvl w:val="0"/>
          <w:numId w:val="5"/>
        </w:numPr>
        <w:shd w:val="clear" w:color="auto" w:fill="auto"/>
        <w:tabs>
          <w:tab w:pos="16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w:t>
      </w:r>
    </w:p>
    <w:p>
      <w:pPr>
        <w:pStyle w:val="Style12"/>
        <w:keepNext w:val="0"/>
        <w:keepLines w:val="0"/>
        <w:widowControl w:val="0"/>
        <w:numPr>
          <w:ilvl w:val="0"/>
          <w:numId w:val="5"/>
        </w:numPr>
        <w:shd w:val="clear" w:color="auto" w:fill="auto"/>
        <w:tabs>
          <w:tab w:pos="16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Приложение №2 к муниципальному контракту - спецификация РДК.</w:t>
      </w:r>
    </w:p>
    <w:p>
      <w:pPr>
        <w:pStyle w:val="Style2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ТЗ Заказчиком указана следующая информация в отношении закупаемого товара:</w:t>
      </w:r>
    </w:p>
    <w:tbl>
      <w:tblPr>
        <w:tblOverlap w:val="never"/>
        <w:jc w:val="center"/>
        <w:tblLayout w:type="fixed"/>
      </w:tblPr>
      <w:tblGrid>
        <w:gridCol w:w="432"/>
        <w:gridCol w:w="2832"/>
        <w:gridCol w:w="6269"/>
        <w:gridCol w:w="677"/>
      </w:tblGrid>
      <w:tr>
        <w:trPr>
          <w:trHeight w:val="446"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Наименование</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Описание/характеристики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кол-во/ шт</w:t>
            </w:r>
          </w:p>
        </w:tc>
      </w:tr>
      <w:tr>
        <w:trPr>
          <w:trHeight w:val="442"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Профессиональная активная акустическая система</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280"/>
              <w:jc w:val="left"/>
              <w:rPr>
                <w:sz w:val="14"/>
                <w:szCs w:val="14"/>
              </w:rPr>
            </w:pPr>
            <w:r>
              <w:rPr>
                <w:color w:val="000000"/>
                <w:spacing w:val="0"/>
                <w:w w:val="100"/>
                <w:position w:val="0"/>
                <w:sz w:val="14"/>
                <w:szCs w:val="14"/>
                <w:shd w:val="clear" w:color="auto" w:fill="auto"/>
                <w:lang w:val="ru-RU" w:eastAsia="ru-RU" w:bidi="ru-RU"/>
              </w:rPr>
              <w:t>4</w:t>
            </w:r>
          </w:p>
        </w:tc>
      </w:tr>
      <w:tr>
        <w:trPr>
          <w:trHeight w:val="446" w:hRule="exact"/>
        </w:trPr>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2</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Профессиональная низкочастотная активная акустическая система (сабвуфер)</w:t>
            </w: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280"/>
              <w:jc w:val="left"/>
              <w:rPr>
                <w:sz w:val="14"/>
                <w:szCs w:val="14"/>
              </w:rPr>
            </w:pPr>
            <w:r>
              <w:rPr>
                <w:color w:val="000000"/>
                <w:spacing w:val="0"/>
                <w:w w:val="100"/>
                <w:position w:val="0"/>
                <w:sz w:val="14"/>
                <w:szCs w:val="14"/>
                <w:shd w:val="clear" w:color="auto" w:fill="auto"/>
                <w:lang w:val="ru-RU" w:eastAsia="ru-RU" w:bidi="ru-RU"/>
              </w:rPr>
              <w:t>4</w:t>
            </w:r>
          </w:p>
        </w:tc>
      </w:tr>
    </w:tbl>
    <w:p>
      <w:pPr>
        <w:sectPr>
          <w:headerReference w:type="default" r:id="rId8"/>
          <w:footerReference w:type="default" r:id="rId9"/>
          <w:footnotePr>
            <w:pos w:val="pageBottom"/>
            <w:numFmt w:val="decimal"/>
            <w:numRestart w:val="continuous"/>
          </w:footnotePr>
          <w:pgSz w:w="11900" w:h="16840"/>
          <w:pgMar w:top="1700" w:right="526" w:bottom="1369" w:left="1102" w:header="0" w:footer="3" w:gutter="0"/>
          <w:cols w:space="720"/>
          <w:noEndnote/>
          <w:rtlGutter w:val="0"/>
          <w:docGrid w:linePitch="360"/>
        </w:sectPr>
      </w:pPr>
    </w:p>
    <w:tbl>
      <w:tblPr>
        <w:tblOverlap w:val="never"/>
        <w:jc w:val="center"/>
        <w:tblLayout w:type="fixed"/>
      </w:tblPr>
      <w:tblGrid>
        <w:gridCol w:w="432"/>
        <w:gridCol w:w="2832"/>
        <w:gridCol w:w="6269"/>
        <w:gridCol w:w="677"/>
      </w:tblGrid>
      <w:tr>
        <w:trPr>
          <w:trHeight w:val="605"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3</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Профессиональная активная широкополосная акустическая система - сценический монитор</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4</w:t>
            </w:r>
          </w:p>
        </w:tc>
      </w:tr>
      <w:tr>
        <w:trPr>
          <w:trHeight w:val="283"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4</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Телескопическая стойка сабвуфер - сателлит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4</w:t>
            </w:r>
          </w:p>
        </w:tc>
      </w:tr>
      <w:tr>
        <w:trPr>
          <w:trHeight w:val="27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5</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Стойка-тренога для акустических систем</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4</w:t>
            </w:r>
          </w:p>
        </w:tc>
      </w:tr>
      <w:tr>
        <w:trPr>
          <w:trHeight w:val="446"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6</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Профессиональный усилитель мощности двухканальный</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1</w:t>
            </w:r>
          </w:p>
        </w:tc>
      </w:tr>
      <w:tr>
        <w:trPr>
          <w:trHeight w:val="442"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7</w:t>
            </w:r>
          </w:p>
        </w:tc>
        <w:tc>
          <w:tcPr>
            <w:tcBorders>
              <w:top w:val="single" w:sz="4"/>
              <w:left w:val="single" w:sz="4"/>
            </w:tcBorders>
            <w:shd w:val="clear" w:color="auto" w:fill="auto"/>
            <w:vAlign w:val="center"/>
          </w:tcPr>
          <w:p>
            <w:pPr>
              <w:pStyle w:val="Style21"/>
              <w:keepNext w:val="0"/>
              <w:keepLines w:val="0"/>
              <w:widowControl w:val="0"/>
              <w:shd w:val="clear" w:color="auto" w:fill="auto"/>
              <w:tabs>
                <w:tab w:pos="1637" w:val="left"/>
              </w:tabs>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Вокальный динамический микрофон, кардиоидный. ОМ-858</w:t>
              <w:tab/>
              <w:t>с выключателем.</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27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8</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Профессиональный микшерный пульт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605"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9</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Профессиональная беспроводная микрофонная система СНТ-диапазона многоканальная с ручным микрофоном</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4</w:t>
            </w:r>
          </w:p>
        </w:tc>
      </w:tr>
      <w:tr>
        <w:trPr>
          <w:trHeight w:val="283"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10</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Микрофонная настольная стойка</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27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И</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Держатель микрофона</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4</w:t>
            </w:r>
          </w:p>
        </w:tc>
      </w:tr>
      <w:tr>
        <w:trPr>
          <w:trHeight w:val="283"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12</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Микрофонная стойка «журавль», «Стрела»</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4</w:t>
            </w:r>
          </w:p>
        </w:tc>
      </w:tr>
      <w:tr>
        <w:trPr>
          <w:trHeight w:val="442"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14</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Кабель многожильный со сценической коробкой, с разъемами В.ох1опе+№и1пк</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27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15</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Стойка для подвеса световых приборов</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4</w:t>
            </w:r>
          </w:p>
        </w:tc>
      </w:tr>
      <w:tr>
        <w:trPr>
          <w:trHeight w:val="283"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16</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Светильник типа ЬЕО РАК</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12</w:t>
            </w:r>
          </w:p>
        </w:tc>
      </w:tr>
      <w:tr>
        <w:trPr>
          <w:trHeight w:val="27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17</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Однофазный стабилизатор напряжения</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283"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18</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Экран 4:3 напольный (220x165 см.)</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27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19</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Технология ОЬР</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442"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20</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Стол для проектора с подставкой под ноутбук</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605"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21</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Программируемый контроллер управления динамическим светом ОМХ512/КОМ- протокол.</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r>
        <w:trPr>
          <w:trHeight w:val="27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22</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Прожектор</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4</w:t>
            </w:r>
          </w:p>
        </w:tc>
      </w:tr>
      <w:tr>
        <w:trPr>
          <w:trHeight w:val="446"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23</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Набор из 2-х разъемов ХЬК кабельный папа+мама</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34</w:t>
            </w:r>
          </w:p>
        </w:tc>
      </w:tr>
      <w:tr>
        <w:trPr>
          <w:trHeight w:val="283"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24</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Кабель для передачи ОМХ-сигнала</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ru-RU" w:eastAsia="ru-RU" w:bidi="ru-RU"/>
              </w:rPr>
              <w:t>Описание в прилагаемых документах (техническая характеристика оборудования)</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2</w:t>
            </w:r>
          </w:p>
        </w:tc>
      </w:tr>
    </w:tbl>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структурированной форме Извещения (в части описания объекта закупки) отсутствуют требования (характеристики), предъявляемые Заказчиком к закупаемому товару (описание объекта закупки).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таких обстоятельствах, при описании объекта закупки Заказчиком были нарушены требования статьи 33, пункта 5 части 1, пункта 1 части 2 статьи 42 Закона, пункта 7 Правил.</w:t>
      </w:r>
    </w:p>
    <w:p>
      <w:pPr>
        <w:pStyle w:val="Style12"/>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В данной части жалоба Заявителя находит свое подтверждение.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3.4 проекта контракта помимо поставки товара предусмотрено выполнение работ по сборке и монтажу оборудования, данные виды работ также были включены в цену контракта. Заказчик в ТЗ указывает требования по доставке и установке поставляемого товара.</w:t>
      </w:r>
    </w:p>
    <w:p>
      <w:pPr>
        <w:pStyle w:val="Style12"/>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В данной части жалоба Заявителя не находит свое подтверждение.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Как указано выше объектом рассматриваемой закупки является поставка музыкальной и световой аппаратуры для клуба «Днепр» и Мазальцевского СДК- филиалов МБУК КТ «Районный дом культуры» МО «Смоленский район» Смоленской области (код ОКПД2 26.40.33.190).</w:t>
      </w:r>
    </w:p>
    <w:p>
      <w:pPr>
        <w:pStyle w:val="Style12"/>
        <w:keepNext w:val="0"/>
        <w:keepLines w:val="0"/>
        <w:widowControl w:val="0"/>
        <w:shd w:val="clear" w:color="auto" w:fill="auto"/>
        <w:bidi w:val="0"/>
        <w:spacing w:before="0" w:after="0" w:line="290" w:lineRule="auto"/>
        <w:ind w:left="0" w:right="0" w:firstLine="700"/>
        <w:jc w:val="both"/>
        <w:rPr>
          <w:sz w:val="24"/>
          <w:szCs w:val="24"/>
        </w:rPr>
        <w:sectPr>
          <w:headerReference w:type="default" r:id="rId10"/>
          <w:footerReference w:type="default" r:id="rId11"/>
          <w:footnotePr>
            <w:pos w:val="pageBottom"/>
            <w:numFmt w:val="decimal"/>
            <w:numRestart w:val="continuous"/>
          </w:footnotePr>
          <w:pgSz w:w="11900" w:h="16840"/>
          <w:pgMar w:top="1695" w:right="527" w:bottom="778" w:left="1106" w:header="0" w:footer="350"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Из размещенных Заказчиком документов (техническая характеристика оборудования) следует, что закупается товар, при закупке которого подлежат </w:t>
      </w:r>
      <w:r>
        <w:rPr>
          <w:color w:val="000000"/>
          <w:spacing w:val="0"/>
          <w:w w:val="100"/>
          <w:position w:val="0"/>
          <w:sz w:val="24"/>
          <w:szCs w:val="24"/>
          <w:shd w:val="clear" w:color="auto" w:fill="auto"/>
          <w:lang w:val="ru-RU" w:eastAsia="ru-RU" w:bidi="ru-RU"/>
        </w:rPr>
        <w:t>2024-4356</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применению следующие коды позиции КТРУ 26.40.31.190-00000011 («Акустическая система») и 26.40.43.110-00000001 («Сабвуфер»),</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в нарушение требований части 6 статьи 23, пункта 5 части 1 статьи 42 Закона, пункта 7 Правил, рассматриваемая закупка осуществлялась по коду ОКПД2 26.40.33.190.</w:t>
      </w:r>
    </w:p>
    <w:p>
      <w:pPr>
        <w:pStyle w:val="Style12"/>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Жалоба в данной части также нашла свое подтверждение.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были представлены 3 (три) коммерческих предложения, в соответствии с которыми потенциальными поставщиками к поставке были предложены товары двух разных производителей.</w:t>
      </w:r>
    </w:p>
    <w:p>
      <w:pPr>
        <w:pStyle w:val="Style12"/>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В связи с изложенным, довод Заявителя об обратном не находит своего подтв ержд ения.</w:t>
      </w:r>
    </w:p>
    <w:p>
      <w:pPr>
        <w:pStyle w:val="Style12"/>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Довод Заявителя об установлении избыточных требований к закупаемому товару признан необоснованным, поскольку в жалобе отсутствуют сведения о том, какие именно характеристики, по мнения Заявителя, являются избыточными.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камеральной проверки установлены следующие нарушения.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14 Закона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информационной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w:t>
      </w:r>
      <w:r>
        <w:rPr>
          <w:color w:val="000000"/>
          <w:spacing w:val="0"/>
          <w:w w:val="100"/>
          <w:position w:val="0"/>
          <w:shd w:val="clear" w:color="auto" w:fill="auto"/>
          <w:lang w:val="ru-RU" w:eastAsia="ru-RU" w:bidi="ru-RU"/>
        </w:rPr>
        <w:t>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Правительством Российской Федерации 10.07.2019 принято постановление №878 (далее - Постановление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данной статьи.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04.06.2018 № 126н (далее - Приказ № 126н).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Код позиции ОКПД2 26.40.33.190, в рамках которого осуществлялась закупка, включен в перечень товаров, утвержденных Постановлением № 878, Приказом № 126н, следовательно, Заказчик в Извещении должен был установить соответствующие ограничения, условия допуска, однако в Извещении № 0363300098824000025 ограничения допуска в соответствии с Постановлением № 878, условия допуска с Приказом № 126н Заказчиком не установлены, что нарушает требования пункта 15 части 1 статьи 42, частей 3, 4 статьи 14 Закона, Постановления № 878, Приказа № 126н.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отмечает, что Смоленское УФАС России осуществляет контроль в сфере закупок, за исключением контроля, предусмотренного частями 5 и 8 статьи 99 Закона. Указанными полномочиями наделены органы внутреннего государственного (муниципального) финансового контроля.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довода Заявителя о нарушении действующего законодательства при формировании НМЦК не относится к компетенции Управления.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изложенного выше, Комиссия приходит к выводу о необходимости направления копий жалобы и решения Управления в Финансовое управление АМО «Смоленский район» Смоленской области для рассмотрения указанного довода Заявителя.</w:t>
      </w:r>
    </w:p>
    <w:p>
      <w:pPr>
        <w:pStyle w:val="Style12"/>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Предписание об устранении допущенных нарушений не выдавать, поскольку закупка признана несостоявшейся.</w:t>
      </w:r>
    </w:p>
    <w:p>
      <w:pPr>
        <w:pStyle w:val="Style12"/>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2"/>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12"/>
        <w:keepNext w:val="0"/>
        <w:keepLines w:val="0"/>
        <w:widowControl w:val="0"/>
        <w:numPr>
          <w:ilvl w:val="0"/>
          <w:numId w:val="7"/>
        </w:numPr>
        <w:shd w:val="clear" w:color="auto" w:fill="auto"/>
        <w:tabs>
          <w:tab w:pos="1109"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Признать жалобу Индивидуального предпринимателя Пономарева Михаила Дмитриевича на положения Извещения муниципального заказчика - Муниципального бюджетного учреждения культуры клубного типа «Районный дом культуры» муниципального образования «Смоленский район» Смоленской области при проведении запроса котировок в электронной форме: «Поставка музыкальной и световой аппаратуры для клуба «Днепр» и Мазальцевского СДК- филиалов МБУК КТ «Районный дом культуры» МО «Смоленский район» Смоленской области» (извещение №0363300098824000028) обоснованной.</w:t>
      </w:r>
    </w:p>
    <w:p>
      <w:pPr>
        <w:pStyle w:val="Style12"/>
        <w:keepNext w:val="0"/>
        <w:keepLines w:val="0"/>
        <w:widowControl w:val="0"/>
        <w:numPr>
          <w:ilvl w:val="0"/>
          <w:numId w:val="7"/>
        </w:numPr>
        <w:shd w:val="clear" w:color="auto" w:fill="auto"/>
        <w:tabs>
          <w:tab w:pos="110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Признать в действиях муниципального заказчика - Муниципального бюджетного учреждения культуры клубного типа «Районный дом культуры» муниципального образования «Смоленский район» Смоленской области нарушения требований частей 3, 4 статьи 14, части 6 статьи 23, статьи 33, пунктов 5, 15 части 1, пункт 1 части 2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 пункта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приказа Минфина России от 04.06.2018 № 126н «Об условиях допуска товаров, происходящих из иностранного государства или группы иностранных </w:t>
      </w:r>
      <w:r>
        <w:rPr>
          <w:color w:val="000000"/>
          <w:spacing w:val="0"/>
          <w:w w:val="100"/>
          <w:position w:val="0"/>
          <w:shd w:val="clear" w:color="auto" w:fill="auto"/>
          <w:lang w:val="ru-RU" w:eastAsia="ru-RU" w:bidi="ru-RU"/>
        </w:rPr>
        <w:t>государств, для целей осуществления закупок товаров для обеспечения государственных и муниципальных нужд».</w:t>
      </w:r>
    </w:p>
    <w:p>
      <w:pPr>
        <w:pStyle w:val="Style12"/>
        <w:keepNext w:val="0"/>
        <w:keepLines w:val="0"/>
        <w:widowControl w:val="0"/>
        <w:numPr>
          <w:ilvl w:val="0"/>
          <w:numId w:val="7"/>
        </w:numPr>
        <w:shd w:val="clear" w:color="auto" w:fill="auto"/>
        <w:tabs>
          <w:tab w:pos="1112"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Предписание об устранении допущенных нарушений не выдавать в связи с тем, процедура определения победителя при проведении запроса котировок в электронной форме признана несостоявшейся.</w:t>
      </w:r>
    </w:p>
    <w:p>
      <w:pPr>
        <w:pStyle w:val="Style12"/>
        <w:keepNext w:val="0"/>
        <w:keepLines w:val="0"/>
        <w:widowControl w:val="0"/>
        <w:numPr>
          <w:ilvl w:val="0"/>
          <w:numId w:val="7"/>
        </w:numPr>
        <w:shd w:val="clear" w:color="auto" w:fill="auto"/>
        <w:tabs>
          <w:tab w:pos="1109"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Передать уполномоченному должностному лицу материалы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620" w:line="240" w:lineRule="auto"/>
        <w:ind w:left="0" w:right="0" w:firstLine="800"/>
        <w:jc w:val="both"/>
      </w:pPr>
      <w:r>
        <w:rPr>
          <w:i/>
          <w:iCs/>
          <w:color w:val="000000"/>
          <w:spacing w:val="0"/>
          <w:w w:val="100"/>
          <w:position w:val="0"/>
          <w:shd w:val="clear" w:color="auto" w:fill="auto"/>
          <w:lang w:val="ru-RU" w:eastAsia="ru-RU" w:bidi="ru-RU"/>
        </w:rPr>
        <w:t>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12"/>
        <w:keepNext w:val="0"/>
        <w:keepLines w:val="0"/>
        <w:widowControl w:val="0"/>
        <w:shd w:val="clear" w:color="auto" w:fill="auto"/>
        <w:tabs>
          <w:tab w:leader="underscore" w:pos="6442" w:val="left"/>
        </w:tabs>
        <w:bidi w:val="0"/>
        <w:spacing w:before="0" w:after="620" w:line="240" w:lineRule="auto"/>
        <w:ind w:left="0" w:right="0" w:firstLine="0"/>
        <w:jc w:val="left"/>
      </w:pPr>
      <w:r>
        <w:rPr>
          <w:color w:val="000000"/>
          <w:spacing w:val="0"/>
          <w:w w:val="100"/>
          <w:position w:val="0"/>
          <w:shd w:val="clear" w:color="auto" w:fill="auto"/>
          <w:lang w:val="ru-RU" w:eastAsia="ru-RU" w:bidi="ru-RU"/>
        </w:rPr>
        <w:t xml:space="preserve">председателя Комиссии </w:t>
        <w:tab/>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sectPr>
      <w:headerReference w:type="default" r:id="rId12"/>
      <w:footerReference w:type="default" r:id="rId13"/>
      <w:footnotePr>
        <w:pos w:val="pageBottom"/>
        <w:numFmt w:val="decimal"/>
        <w:numRestart w:val="continuous"/>
      </w:footnotePr>
      <w:pgSz w:w="11900" w:h="16840"/>
      <w:pgMar w:top="1700" w:right="519" w:bottom="1436" w:left="109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2024-4356</w:t>
                          </w:r>
                        </w:p>
                      </w:txbxContent>
                    </wps:txbx>
                    <wps:bodyPr wrap="none" lIns="0" tIns="0" rIns="0" bIns="0">
                      <a:spAutoFit/>
                    </wps:bodyPr>
                  </wps:wsp>
                </a:graphicData>
              </a:graphic>
            </wp:anchor>
          </w:drawing>
        </mc:Choice>
        <mc:Fallback>
          <w:pict>
            <v:shape id="_x0000_s103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2024-4356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732155</wp:posOffset>
              </wp:positionH>
              <wp:positionV relativeFrom="page">
                <wp:posOffset>10016490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2024-4356</w:t>
                          </w:r>
                        </w:p>
                      </w:txbxContent>
                    </wps:txbx>
                    <wps:bodyPr wrap="none" lIns="0" tIns="0" rIns="0" bIns="0">
                      <a:spAutoFit/>
                    </wps:bodyPr>
                  </wps:wsp>
                </a:graphicData>
              </a:graphic>
            </wp:anchor>
          </w:drawing>
        </mc:Choice>
        <mc:Fallback>
          <w:pict>
            <v:shape id="_x0000_s1041" type="#_x0000_t202" style="position:absolute;margin-left:57.649999999999999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2024-4356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732155</wp:posOffset>
              </wp:positionH>
              <wp:positionV relativeFrom="page">
                <wp:posOffset>10016490</wp:posOffset>
              </wp:positionV>
              <wp:extent cx="648970" cy="100330"/>
              <wp:wrapNone/>
              <wp:docPr id="21" name="Shape 2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2024-4356</w:t>
                          </w:r>
                        </w:p>
                      </w:txbxContent>
                    </wps:txbx>
                    <wps:bodyPr wrap="none" lIns="0" tIns="0" rIns="0" bIns="0">
                      <a:spAutoFit/>
                    </wps:bodyPr>
                  </wps:wsp>
                </a:graphicData>
              </a:graphic>
            </wp:anchor>
          </w:drawing>
        </mc:Choice>
        <mc:Fallback>
          <w:pict>
            <v:shape id="_x0000_s1047" type="#_x0000_t202" style="position:absolute;margin-left:57.649999999999999pt;margin-top:788.70000000000005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2024-4356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3910965</wp:posOffset>
              </wp:positionH>
              <wp:positionV relativeFrom="page">
                <wp:posOffset>762635</wp:posOffset>
              </wp:positionV>
              <wp:extent cx="128270" cy="100330"/>
              <wp:wrapNone/>
              <wp:docPr id="13" name="Shape 13"/>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94999999999999pt;margin-top:60.050000000000004pt;width:10.1pt;height:7.9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3926840</wp:posOffset>
              </wp:positionH>
              <wp:positionV relativeFrom="page">
                <wp:posOffset>762635</wp:posOffset>
              </wp:positionV>
              <wp:extent cx="64135" cy="100330"/>
              <wp:wrapNone/>
              <wp:docPr id="17" name="Shape 17"/>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19999999999999pt;margin-top:60.050000000000004pt;width:5.0499999999999998pt;height:7.9000000000000004pt;z-index:-188744057;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3910965</wp:posOffset>
              </wp:positionH>
              <wp:positionV relativeFrom="page">
                <wp:posOffset>762635</wp:posOffset>
              </wp:positionV>
              <wp:extent cx="128270" cy="100330"/>
              <wp:wrapNone/>
              <wp:docPr id="19" name="Shape 19"/>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7.94999999999999pt;margin-top:60.050000000000004pt;width:10.1pt;height:7.9000000000000004pt;z-index:-188744055;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B6294"/>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9"/>
      <w:szCs w:val="19"/>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Подпись к таблице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Заголовок №1_"/>
    <w:basedOn w:val="DefaultParagraphFont"/>
    <w:link w:val="Style25"/>
    <w:rPr>
      <w:rFonts w:ascii="Arial" w:eastAsia="Arial" w:hAnsi="Arial" w:cs="Arial"/>
      <w:b w:val="0"/>
      <w:bCs w:val="0"/>
      <w:i w:val="0"/>
      <w:iCs w:val="0"/>
      <w:smallCaps w:val="0"/>
      <w:strike w:val="0"/>
      <w:sz w:val="32"/>
      <w:szCs w:val="32"/>
      <w:u w:val="none"/>
    </w:rPr>
  </w:style>
  <w:style w:type="paragraph" w:customStyle="1" w:styleId="Style2">
    <w:name w:val="Основной текст (3)"/>
    <w:basedOn w:val="Normal"/>
    <w:link w:val="CharStyle3"/>
    <w:pPr>
      <w:widowControl w:val="0"/>
      <w:shd w:val="clear" w:color="auto" w:fill="auto"/>
      <w:spacing w:line="300" w:lineRule="auto"/>
      <w:jc w:val="center"/>
    </w:pPr>
    <w:rPr>
      <w:rFonts w:ascii="Times New Roman" w:eastAsia="Times New Roman" w:hAnsi="Times New Roman" w:cs="Times New Roman"/>
      <w:b w:val="0"/>
      <w:bCs w:val="0"/>
      <w:i w:val="0"/>
      <w:iCs w:val="0"/>
      <w:smallCaps w:val="0"/>
      <w:strike w:val="0"/>
      <w:color w:val="4B6294"/>
      <w:sz w:val="16"/>
      <w:szCs w:val="16"/>
      <w:u w:val="none"/>
    </w:rPr>
  </w:style>
  <w:style w:type="paragraph" w:customStyle="1" w:styleId="Style5">
    <w:name w:val="Основной текст (2)"/>
    <w:basedOn w:val="Normal"/>
    <w:link w:val="CharStyle6"/>
    <w:pPr>
      <w:widowControl w:val="0"/>
      <w:shd w:val="clear" w:color="auto" w:fill="auto"/>
      <w:spacing w:after="220"/>
      <w:ind w:left="780" w:firstLine="40"/>
    </w:pPr>
    <w:rPr>
      <w:rFonts w:ascii="Times New Roman" w:eastAsia="Times New Roman" w:hAnsi="Times New Roman" w:cs="Times New Roman"/>
      <w:b w:val="0"/>
      <w:bCs w:val="0"/>
      <w:i w:val="0"/>
      <w:iCs w:val="0"/>
      <w:smallCaps w:val="0"/>
      <w:strike w:val="0"/>
      <w:sz w:val="19"/>
      <w:szCs w:val="19"/>
      <w:u w:val="none"/>
    </w:rPr>
  </w:style>
  <w:style w:type="paragraph" w:customStyle="1" w:styleId="Style8">
    <w:name w:val="Основной текст (4)"/>
    <w:basedOn w:val="Normal"/>
    <w:link w:val="CharStyle9"/>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Другое"/>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Подпись к таблице"/>
    <w:basedOn w:val="Normal"/>
    <w:link w:val="CharStyle24"/>
    <w:pPr>
      <w:widowControl w:val="0"/>
      <w:shd w:val="clear" w:color="auto" w:fill="auto"/>
      <w:ind w:firstLine="35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Заголовок №1"/>
    <w:basedOn w:val="Normal"/>
    <w:link w:val="CharStyle26"/>
    <w:pPr>
      <w:widowControl w:val="0"/>
      <w:shd w:val="clear" w:color="auto" w:fill="auto"/>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s>
</file>

<file path=docProps/core.xml><?xml version="1.0" encoding="utf-8"?>
<cp:coreProperties xmlns:cp="http://schemas.openxmlformats.org/package/2006/metadata/core-properties" xmlns:dc="http://purl.org/dc/elements/1.1/">
  <dc:title>Постановление Правительства РФ от 08.02.2017 N 145(ред. от 27.03.2023)"Об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dc:title>
  <dc:subject/>
  <dc:creator/>
  <cp:keywords/>
</cp:coreProperties>
</file>