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е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120" w:line="288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  <w:br/>
        <w:t>Федеральной антимонопольной службы</w:t>
        <w:br/>
        <w:t>по Тверской области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пл. Святого Благоверного Князя</w:t>
        <w:br/>
        <w:t>Михаила Тверского, д.5, г.Тверь, 170100</w:t>
        <w:br/>
        <w:t>тел. (4822) 32-08-32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6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е-тай: 1о69@Газ.§оу.ги</w:t>
      </w:r>
    </w:p>
    <w:p>
      <w:pPr>
        <w:pStyle w:val="Style12"/>
        <w:keepNext/>
        <w:keepLines/>
        <w:widowControl w:val="0"/>
        <w:shd w:val="clear" w:color="auto" w:fill="auto"/>
        <w:tabs>
          <w:tab w:pos="1848" w:val="left"/>
        </w:tabs>
        <w:bidi w:val="0"/>
        <w:spacing w:before="0" w:line="240" w:lineRule="auto"/>
        <w:ind w:left="0" w:right="0" w:firstLine="0"/>
        <w:jc w:val="left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7.09.2024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ab/>
      </w:r>
      <w:r>
        <w:fldChar w:fldCharType="end"/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 xml:space="preserve">№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ЕК/8237/24</w:t>
      </w:r>
      <w:bookmarkEnd w:id="0"/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left="0" w:right="0" w:firstLine="0"/>
        <w:jc w:val="left"/>
        <w:rPr>
          <w:sz w:val="20"/>
          <w:szCs w:val="20"/>
        </w:rPr>
      </w:pPr>
      <w:r>
        <w:rPr>
          <w:b w:val="0"/>
          <w:bCs w:val="0"/>
          <w:spacing w:val="0"/>
          <w:w w:val="100"/>
          <w:position w:val="0"/>
          <w:sz w:val="20"/>
          <w:szCs w:val="20"/>
          <w:shd w:val="clear" w:color="auto" w:fill="auto"/>
          <w:lang w:val="ru-RU" w:eastAsia="ru-RU" w:bidi="ru-RU"/>
        </w:rPr>
        <w:t xml:space="preserve">На №  от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0"/>
          <w:szCs w:val="20"/>
        </w:rPr>
      </w:pPr>
      <w:r>
        <w:rPr>
          <w:b w:val="0"/>
          <w:bCs w:val="0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ru-RU" w:eastAsia="ru-RU" w:bidi="ru-RU"/>
        </w:rPr>
        <w:t>Решение 069/06/105-1192/2024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Заказчик: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ГКУ Тверской области «Дирекция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территориального дорожного фонда Тверской области»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е-таП: дог!опд@уапдех.ш,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fldChar w:fldCharType="begin"/>
      </w:r>
      <w:r>
        <w:rPr/>
        <w:instrText> HYPERLINK "mailto:ribalko@web.region.tver.ru" </w:instrText>
      </w:r>
      <w:r>
        <w:fldChar w:fldCharType="separate"/>
      </w:r>
      <w:r>
        <w:rPr>
          <w:color w:val="00008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пЬа1ко@\уеЬ.гедюп.1Уст.Г11</w:t>
      </w:r>
      <w:r>
        <w:fldChar w:fldCharType="end"/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Уполномоченный орган: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Комитет государственного заказа Тверской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области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е-таП:</w:t>
      </w:r>
      <w:r>
        <w:fldChar w:fldCharType="begin"/>
      </w:r>
      <w:r>
        <w:rPr/>
        <w:instrText> HYPERLINK "mailto:kom_goszakaza@tverreg.ru" 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 </w:t>
      </w:r>
      <w:r>
        <w:rPr>
          <w:color w:val="00008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кот ао82ака2а@.1уеггеа.ш</w:t>
      </w:r>
      <w:r>
        <w:fldChar w:fldCharType="end"/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Заявитель: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ООО «Брокер Групп»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е-таП: ооо.1епдег.Ьгокег77@дтаП .сот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Оператор электронной площадки: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АО «Сбербанк - АСТ»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headerReference w:type="default" r:id="rId5"/>
          <w:footerReference w:type="default" r:id="rId6"/>
          <w:headerReference w:type="first" r:id="rId7"/>
          <w:footerReference w:type="first" r:id="rId8"/>
          <w:footnotePr>
            <w:pos w:val="pageBottom"/>
            <w:numFmt w:val="decimal"/>
            <w:numRestart w:val="continuous"/>
          </w:footnotePr>
          <w:pgSz w:w="11900" w:h="16840"/>
          <w:pgMar w:top="63" w:right="748" w:bottom="1231" w:left="1140" w:header="0" w:footer="3" w:gutter="0"/>
          <w:pgNumType w:start="1"/>
          <w:cols w:num="2" w:space="720" w:equalWidth="0">
            <w:col w:w="4181" w:space="1080"/>
            <w:col w:w="4752"/>
          </w:cols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е-таП: ко@зЬегЬапк-а81.ги</w:t>
      </w:r>
    </w:p>
    <w:p>
      <w:pPr>
        <w:widowControl w:val="0"/>
        <w:spacing w:before="88" w:after="88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87" w:right="0" w:bottom="808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68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 Е Ш Е Н И Е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 делу № 069/06/105-1192/2024 о рассмотрении жалобы на нарушение</w:t>
        <w:br/>
        <w:t>законодательства о контрактной системе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Резолютивная часть решения оглашена «26» сентября 2024 г.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полном объеме решение изготовлено «27» сентября 2024 г.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г. Тверь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Управления Федеральной антимонопольной службы по Тверской области по контролю в сфере закупок (далее - Комиссия, Тверское УФАС России) в следующем составе: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председатель Комиссии: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Ключникова Е.В. - заместитель руководителя управления - начальник отдела контроля закупок,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члены Комиссии: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Винницкая П.Д. - заместитель начальника отдела контроля закупок,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Дьяконов В.А. - специалист 1 -го разряда отдела контроля закупок, при участии посредством видеоконференц-связи представителей: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ГКУ Тверской области «Дирекция территориального дорожного фонда Тверской области» (далее - Заказчик): Скрастынь Е.Г. (но доверенности);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Комитета государственного заказа Тверской области (далее — Уполномоченный орган): Зайкиной Н.М. (по доверенности);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представители ООО «Брокер Групп» (далее — Заявитель) на заседание Комиссии не явились, о дате, времени и месте рассмотрения обращения посредством системы видеооконференц-связи уведомлены надлежащим образом,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44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рассмотрев посредством видеооконференц-связи, жалобу Заявителя на действия Заказчика при проведении открытого конкурса в электронной форме на право оказания услуг по обслуживанию систем сигнализации, видеонаблюдения, инженерно-технических средств (систем)</w:t>
      </w:r>
    </w:p>
    <w:p>
      <w:pPr>
        <w:pStyle w:val="Style24"/>
        <w:keepNext/>
        <w:keepLines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  <w:rPr>
          <w:sz w:val="24"/>
          <w:szCs w:val="24"/>
        </w:rPr>
      </w:pPr>
      <w:bookmarkStart w:id="2" w:name="bookmark2"/>
      <w:r>
        <w:rPr>
          <w:color w:val="000000"/>
          <w:spacing w:val="0"/>
          <w:w w:val="100"/>
          <w:position w:val="0"/>
          <w:sz w:val="32"/>
          <w:szCs w:val="32"/>
          <w:shd w:val="clear" w:color="auto" w:fill="auto"/>
          <w:lang w:val="ru-RU" w:eastAsia="ru-RU" w:bidi="ru-RU"/>
        </w:rPr>
        <w:t>111111111111111111111111</w:t>
      </w:r>
      <w:bookmarkEnd w:id="2"/>
      <w:r>
        <w:rPr>
          <w:color w:val="000000"/>
          <w:spacing w:val="0"/>
          <w:w w:val="100"/>
          <w:position w:val="0"/>
          <w:sz w:val="32"/>
          <w:szCs w:val="32"/>
          <w:shd w:val="clear" w:color="auto" w:fill="auto"/>
          <w:lang w:val="ru-RU" w:eastAsia="ru-RU" w:bidi="ru-RU"/>
        </w:rPr>
        <w:t xml:space="preserve"> </w:t>
      </w:r>
      <w:r>
        <w:rPr>
          <w:rStyle w:val="CharStyle18"/>
        </w:rPr>
        <w:t>обеспечения транспортной безопасности и содержание пункта управления обеспечения транспортной безопасности в Тверской области (извещение от 06.09.2024 № 0136500001124004827 на официальном сайте Единой информационной системы в сфере закупок -</w:t>
      </w:r>
      <w:r>
        <w:fldChar w:fldCharType="begin"/>
      </w:r>
      <w:r>
        <w:rPr/>
        <w:instrText> HYPERLINK "http://www.zakupki.gov.ru/" </w:instrText>
      </w:r>
      <w:r>
        <w:fldChar w:fldCharType="separate"/>
      </w:r>
      <w:r>
        <w:rPr>
          <w:rStyle w:val="CharStyle18"/>
        </w:rPr>
        <w:t xml:space="preserve"> </w:t>
      </w:r>
      <w:r>
        <w:rPr>
          <w:rStyle w:val="CharStyle18"/>
          <w:smallCaps/>
          <w:color w:val="000080"/>
          <w:sz w:val="17"/>
          <w:szCs w:val="17"/>
          <w:u w:val="single"/>
        </w:rPr>
        <w:t>\у\у\у.</w:t>
      </w:r>
      <w:r>
        <w:rPr>
          <w:rStyle w:val="CharStyle18"/>
          <w:color w:val="000080"/>
          <w:u w:val="single"/>
        </w:rPr>
        <w:t xml:space="preserve"> хакирк!. доу. ги</w:t>
      </w:r>
      <w:r>
        <w:fldChar w:fldCharType="end"/>
      </w:r>
      <w:r>
        <w:rPr>
          <w:rStyle w:val="CharStyle18"/>
        </w:rPr>
        <w:t>) (далее — Закупка, Конкурс),</w:t>
      </w:r>
    </w:p>
    <w:p>
      <w:pPr>
        <w:pStyle w:val="Style27"/>
        <w:keepNext/>
        <w:keepLines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bookmarkStart w:id="4" w:name="bookmark4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УСТАНОВИЛА:</w:t>
      </w:r>
      <w:bookmarkEnd w:id="4"/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Тверское УФАС России 22.09.2024 поступила жалоба Заявителя на действия (бездействия) закупочной комиссии Заказчика при проведении Конкурса.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доводу Заявителя Заказчиком, Уполномоченным органом ненадлежащим образом установлен Порядок оценки.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Заказчик, Уполномоченный орган представили письменные пояснения, с доводом жалобы согласился.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Тверского УФАС России, рассмотрев материалы дела, заслушав представителей лиц, участвовавших в заседании, приходит к следующим выводам.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извещением о проведении Конкурса составленным при осуществлении закупки:</w:t>
      </w:r>
    </w:p>
    <w:p>
      <w:pPr>
        <w:pStyle w:val="Style1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1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извещение о проведении Конкурса размещено на Официальном сайте 06.09.2024;</w:t>
      </w:r>
    </w:p>
    <w:p>
      <w:pPr>
        <w:pStyle w:val="Style1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1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начальная (максимальная) цена контракта - 4 947 120,00 рублей;</w:t>
      </w:r>
    </w:p>
    <w:p>
      <w:pPr>
        <w:pStyle w:val="Style1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1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дата окончания подачи заявок - 23.09.2024 09:00, по окончании срока подачи заявок подано четыре заявки;</w:t>
      </w:r>
    </w:p>
    <w:p>
      <w:pPr>
        <w:pStyle w:val="Style1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12" w:val="left"/>
        </w:tabs>
        <w:bidi w:val="0"/>
        <w:spacing w:before="0" w:after="24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дата подведения итогов определения поставщика (подрядчика, исполнителя) - 26.09.2024, все заявки признаны соответствующими требованиям, определен победитель.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Пунктом 11 части 1 статьи 42 Закона о контрактной системе установлено, что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следующую информацию: критерии оценки заявок на участие в конкурсах, величины значимости этих критериев в соответствии с Законом о контрактной системе.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Пунктом 4 части 2 статьи 42 Закона о контрактной системе установлено, что извещение об осуществлении закупки, если иное не предусмотрено Законом о контрактной системе, должно содержать, в том числе порядок рассмотрения и оценки заявок на участие в конкурсах в соответствии с Законом о контрактной системе.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частью 1 статьи 32 Закона о контрактной системе для оценки заявок участников закупки заказчик использует следующие критерии: 1) цена контракта, сумма цен единиц товара, работы, услуги; 2) расходы на эксплуатацию и ремонт товаров, использование результатов работ; 3) качественные, функциональные и экологические характеристики объекта закупки; 4) квалификация участников закупки, в том числе наличие у них финансовых ресурсов, на праве собственности или ином законном основании оборудования и других материальных ресурсов, опыта работы, связанного с предметом контракта, и деловой репутации, специалистов и иных работников определенного уровня квалификации.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Согласно части 8 статьи 32 Закона о контрактной системе порядок оценки заявок участников закупки, в том числе предельные величины значимости каждого критерия устанавливаются постановлением Правительства Российской Федерации от 31.12.2021 № 2604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«Об оценке заявок на участие в закупке товаров, работ, услуг для обеспечения государственных и муниципальных нужд, внесении изменений в пункт 4 Постановления Правительства Российской Федерации от 20 декабря 2021 г. № 2369 и признании утратившими силу некоторых актов и отдельных положений некоторых актов Правительства Российской Федерации» (далее - Положение).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Подпунктом «г» пункта 3 Положения для оценки заявок установлено, что в соответствии с Положением применяется в том числе критерий оценки квалификация участников закупки.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Подпунктом «в» пункта 24 Положения установлено, что для оценки заявок по критерию оценки «Квалификация участников закупки» может применяться, если иное не предусмотрено Положением, следующий показатель оценки наличие у участников закупки опыта поставки товара, выполнения работы, оказания услуги, связанного с предметом контракта;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подпунктом «г» пункта 31 Положения документом, предусмотренным приложением № 1 к Положению в отношении показателя оценки, предусмотренного подпунктом «в» пункта 24 Положения, его детализирующих показателей устанавливается положение о принятии к оценке исключительно исполненного договора (договоров), относящегося к одному или нескольким из следующих договоров (контрактов):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Подпунктом «в» пункта 32 Постановления установлено, что при осуществлении закупки, по результатам проведения которой заключается контракт на выполнение работ по ремонту, содержанию автомобильной дороги документом, предусмотренным приложением № 1 к Положению, в отношении показателя оценки, предусмотренного подпунктом «в» пункта 24 Положения, его детализирующих показателей устанавливается положение о принятии к оценке исключительно исполненного договора (договоров), предусматривающего выполнение работ по ремонту, содержанию, капитальному ремонту, строительству, реконструкции автомобильной дороги.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Извещением объектом закупки является оказание услуг по обслуживанию систем сигнализации, видеонаблюдения, инженерно-технических средств (систем) обеспечения транспортной безопасности и содержание пункта управления обеспечения транспортной безопасности в Тверской области.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Порядку оценки Заказчиком, Уполномоченным органом установлен Детализирующий показатель Критерия.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Также в Порядке оценки Заказчиком, Уполномоченным органом установлено, что по Детализирующему показателю Критерия к оценке принимаются исключительно исполненный договор (договоры), предусматривающий выполнение работ по строительству, реконструкции, капитальному ремонту, содержанию автомобильной дороги (в т.ч. оказание услуг по техническому обслуживанию инженерно-технических систем (средств) обеспечения транспортной безопасности транспортной инфраструктуры дорожного хозяйства).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Вместе с тем, Заказчиком не указана возможность представления к оценке договоров по текущему ремонту дорог.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Таким образом, подпунктом «в» пункта 32 Постановления законодателем уже установлен перечень работ по контрактам (договорам), которые подлежат оценке, в свою очередь Заказчик в Порядке рассмотрения и оценки заявок установил иной (сокращенный) перечень работ по контрактам (договорам).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Учитывая изложенное, Комиссия приходит к выводу, что в извещении и приложении и к нему установлен ненадлежащий порядок оценки, что нарушает требования пункта 4 части 2 статьи 42 Закона о контрактной системе и и содержат признаки состава административного правонарушения, предусмотренного частью 4 статьи 7.30 КоАП РФ.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Довод жалобы Заявителя признан обоснованным.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 основании вышеизложенного Комиссия Тверского УФАС России</w:t>
      </w:r>
      <w:r>
        <w:br w:type="page"/>
      </w:r>
    </w:p>
    <w:p>
      <w:pPr>
        <w:pStyle w:val="Style27"/>
        <w:keepNext/>
        <w:keepLines/>
        <w:widowControl w:val="0"/>
        <w:shd w:val="clear" w:color="auto" w:fill="auto"/>
        <w:bidi w:val="0"/>
        <w:spacing w:before="0" w:after="520" w:line="240" w:lineRule="auto"/>
        <w:ind w:left="0" w:right="0" w:firstLine="0"/>
        <w:jc w:val="center"/>
      </w:pPr>
      <w:bookmarkStart w:id="6" w:name="bookmark6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РЕШИЛА:</w:t>
      </w:r>
      <w:bookmarkEnd w:id="6"/>
    </w:p>
    <w:p>
      <w:pPr>
        <w:pStyle w:val="Style17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69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Признать в действиях Заказчика нарушение пункта 4 части 2 статьи 42 Закона о контрактной системе;</w:t>
      </w:r>
    </w:p>
    <w:p>
      <w:pPr>
        <w:pStyle w:val="Style17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69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Выдать Заказчику, Уполномоченному органу и оператору электронной площадки предписание об устранении выявленных нарушений путем отмены протоколов, внесения изменений в извещение об осуществлении закупки;</w:t>
      </w:r>
    </w:p>
    <w:p>
      <w:pPr>
        <w:pStyle w:val="Style17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74" w:val="left"/>
        </w:tabs>
        <w:bidi w:val="0"/>
        <w:spacing w:before="0" w:after="24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Передать уполномоченному должностному лицу Тверского УФАС России материалы дела для рассмотрения вопроса о возбуждении административного производства.</w:t>
      </w:r>
    </w:p>
    <w:p>
      <w:pPr>
        <w:pStyle w:val="Style27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bookmarkStart w:id="8" w:name="bookmark8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Настоящее решение может быть обжаловано в судебном порядке в течение трех месяцев со дня принятия.</w:t>
      </w:r>
      <w:bookmarkEnd w:id="8"/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87" w:right="538" w:bottom="808" w:left="1100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495300" distB="247015" distL="0" distR="0" simplePos="0" relativeHeight="125829378" behindDoc="0" locked="0" layoutInCell="1" allowOverlap="1">
                <wp:simplePos x="0" y="0"/>
                <wp:positionH relativeFrom="page">
                  <wp:posOffset>736600</wp:posOffset>
                </wp:positionH>
                <wp:positionV relativeFrom="paragraph">
                  <wp:posOffset>495300</wp:posOffset>
                </wp:positionV>
                <wp:extent cx="1572895" cy="213360"/>
                <wp:wrapTopAndBottom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72895" cy="2133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58.pt;margin-top:39.pt;width:123.85000000000001pt;height:16.800000000000001pt;z-index:-125829375;mso-wrap-distance-left:0;mso-wrap-distance-top:39.pt;mso-wrap-distance-right:0;mso-wrap-distance-bottom:19.449999999999999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559435" distB="0" distL="0" distR="1789430" simplePos="0" relativeHeight="125829380" behindDoc="0" locked="0" layoutInCell="1" allowOverlap="1">
            <wp:simplePos x="0" y="0"/>
            <wp:positionH relativeFrom="page">
              <wp:posOffset>2702560</wp:posOffset>
            </wp:positionH>
            <wp:positionV relativeFrom="paragraph">
              <wp:posOffset>559435</wp:posOffset>
            </wp:positionV>
            <wp:extent cx="347345" cy="396240"/>
            <wp:wrapTopAndBottom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47345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3114040</wp:posOffset>
                </wp:positionH>
                <wp:positionV relativeFrom="paragraph">
                  <wp:posOffset>650875</wp:posOffset>
                </wp:positionV>
                <wp:extent cx="1725295" cy="255905"/>
                <wp:wrapNone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474747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245.20000000000002pt;margin-top:51.25pt;width:135.84999999999999pt;height:20.15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474747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711835" distB="27305" distL="0" distR="0" simplePos="0" relativeHeight="125829381" behindDoc="0" locked="0" layoutInCell="1" allowOverlap="1">
                <wp:simplePos x="0" y="0"/>
                <wp:positionH relativeFrom="page">
                  <wp:posOffset>6043295</wp:posOffset>
                </wp:positionH>
                <wp:positionV relativeFrom="paragraph">
                  <wp:posOffset>711835</wp:posOffset>
                </wp:positionV>
                <wp:extent cx="1149350" cy="216535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49350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Е.В. Ключникова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475.85000000000002pt;margin-top:56.050000000000004pt;width:90.5pt;height:17.050000000000001pt;z-index:-125829372;mso-wrap-distance-left:0;mso-wrap-distance-top:56.050000000000004pt;mso-wrap-distance-right:0;mso-wrap-distance-bottom:2.1499999999999999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Е.В. Ключникова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31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3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6E6E6E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Ключникова Елена Владимировна</w:t>
      </w:r>
    </w:p>
    <w:p>
      <w:pPr>
        <w:pStyle w:val="Style3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5707С9С4А2ОЕВ65ОЗС0А30А65ВС43802</w:t>
      </w:r>
    </w:p>
    <w:p>
      <w:pPr>
        <w:pStyle w:val="Style3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6E6E6E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20202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08.07.2024 </w:t>
      </w:r>
      <w:r>
        <w:rPr>
          <w:color w:val="6E6E6E"/>
          <w:spacing w:val="0"/>
          <w:w w:val="100"/>
          <w:position w:val="0"/>
          <w:shd w:val="clear" w:color="auto" w:fill="auto"/>
          <w:lang w:val="ru-RU" w:eastAsia="ru-RU" w:bidi="ru-RU"/>
        </w:rPr>
        <w:t>по 01.10.2025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671" w:right="546" w:bottom="1633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0" distB="448310" distL="0" distR="0" simplePos="0" relativeHeight="125829383" behindDoc="0" locked="0" layoutInCell="1" allowOverlap="1">
                <wp:simplePos x="0" y="0"/>
                <wp:positionH relativeFrom="page">
                  <wp:posOffset>736600</wp:posOffset>
                </wp:positionH>
                <wp:positionV relativeFrom="paragraph">
                  <wp:posOffset>0</wp:posOffset>
                </wp:positionV>
                <wp:extent cx="1151890" cy="210185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51890" cy="2101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7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10" w:name="bookmark10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Члены комиссии:</w:t>
                            </w:r>
                            <w:bookmarkEnd w:id="10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58.pt;margin-top:0;width:90.700000000000003pt;height:16.550000000000001pt;z-index:-125829370;mso-wrap-distance-left:0;mso-wrap-distance-right:0;mso-wrap-distance-bottom:35.300000000000004pt;mso-position-horizontal-relative:page" filled="f" stroked="f">
                <v:textbox inset="0,0,0,0">
                  <w:txbxContent>
                    <w:p>
                      <w:pPr>
                        <w:pStyle w:val="Style27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10" w:name="bookmark10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Члены комиссии:</w:t>
                      </w:r>
                      <w:bookmarkEnd w:id="10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30810" distB="635" distL="0" distR="1789430" simplePos="0" relativeHeight="125829385" behindDoc="0" locked="0" layoutInCell="1" allowOverlap="1">
            <wp:simplePos x="0" y="0"/>
            <wp:positionH relativeFrom="page">
              <wp:posOffset>2699385</wp:posOffset>
            </wp:positionH>
            <wp:positionV relativeFrom="paragraph">
              <wp:posOffset>130810</wp:posOffset>
            </wp:positionV>
            <wp:extent cx="353695" cy="530225"/>
            <wp:wrapTopAndBottom/>
            <wp:docPr id="17" name="Shap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box 18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53695" cy="53022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3159760</wp:posOffset>
                </wp:positionH>
                <wp:positionV relativeFrom="paragraph">
                  <wp:posOffset>523875</wp:posOffset>
                </wp:positionV>
                <wp:extent cx="1283335" cy="103505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</w:t>
                            </w:r>
                            <w:r>
                              <w:rPr>
                                <w:rFonts w:ascii="Georgia" w:eastAsia="Georgia" w:hAnsi="Georgia" w:cs="Georgia"/>
                                <w:color w:val="E3E3E3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 xml:space="preserve">О </w:t>
                            </w: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 xml:space="preserve">СЕРТИФИКАТЕ </w:t>
                            </w:r>
                            <w:r>
                              <w:rPr>
                                <w:rFonts w:ascii="Georgia" w:eastAsia="Georgia" w:hAnsi="Georgia" w:cs="Georgia"/>
                                <w:color w:val="E3E3E3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48.80000000000001pt;margin-top:41.25pt;width:101.05pt;height:8.1500000000000004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 xml:space="preserve">СВЕДЕНИЯ </w:t>
                      </w:r>
                      <w:r>
                        <w:rPr>
                          <w:rFonts w:ascii="Georgia" w:eastAsia="Georgia" w:hAnsi="Georgia" w:cs="Georgia"/>
                          <w:color w:val="E3E3E3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 xml:space="preserve">О </w:t>
                      </w: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 xml:space="preserve">СЕРТИФИКАТЕ </w:t>
                      </w:r>
                      <w:r>
                        <w:rPr>
                          <w:rFonts w:ascii="Georgia" w:eastAsia="Georgia" w:hAnsi="Georgia" w:cs="Georgia"/>
                          <w:color w:val="E3E3E3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3114040</wp:posOffset>
                </wp:positionH>
                <wp:positionV relativeFrom="paragraph">
                  <wp:posOffset>213360</wp:posOffset>
                </wp:positionV>
                <wp:extent cx="1725295" cy="255905"/>
                <wp:wrapNone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14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245.20000000000002pt;margin-top:16.800000000000001pt;width:135.84999999999999pt;height:20.15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14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243840" distB="194945" distL="0" distR="0" simplePos="0" relativeHeight="125829386" behindDoc="0" locked="0" layoutInCell="1" allowOverlap="1">
                <wp:simplePos x="0" y="0"/>
                <wp:positionH relativeFrom="page">
                  <wp:posOffset>6109970</wp:posOffset>
                </wp:positionH>
                <wp:positionV relativeFrom="paragraph">
                  <wp:posOffset>243840</wp:posOffset>
                </wp:positionV>
                <wp:extent cx="1078865" cy="219710"/>
                <wp:wrapTopAndBottom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78865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П.Д. Винницкая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481.10000000000002pt;margin-top:19.199999999999999pt;width:84.950000000000003pt;height:17.300000000000001pt;z-index:-125829367;mso-wrap-distance-left:0;mso-wrap-distance-top:19.199999999999999pt;mso-wrap-distance-right:0;mso-wrap-distance-bottom:15.35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П.Д. Винницкая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3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6E6E6E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ВИННИЦКАЯ ПОЛИНА ДМИТРИЕВНА</w:t>
      </w:r>
    </w:p>
    <w:p>
      <w:pPr>
        <w:pStyle w:val="Style3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49482801А07039ЕЕ501С310693В25946</w:t>
      </w:r>
    </w:p>
    <w:p>
      <w:pPr>
        <w:pStyle w:val="Style33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right="0" w:firstLine="0"/>
        <w:jc w:val="left"/>
      </w:pPr>
      <w:r>
        <w:rPr>
          <w:color w:val="6E6E6E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6E6E6E"/>
          <w:spacing w:val="0"/>
          <w:w w:val="100"/>
          <w:position w:val="0"/>
          <w:shd w:val="clear" w:color="auto" w:fill="auto"/>
          <w:lang w:val="ru-RU" w:eastAsia="ru-RU" w:bidi="ru-RU"/>
        </w:rPr>
        <w:t>31.07.2023 по 23.10.2024</w:t>
      </w:r>
    </w:p>
    <w:p>
      <w:pPr>
        <w:pStyle w:val="Style27"/>
        <w:keepNext/>
        <w:keepLines/>
        <w:widowControl w:val="0"/>
        <w:shd w:val="clear" w:color="auto" w:fill="auto"/>
        <w:bidi w:val="0"/>
        <w:spacing w:before="0" w:after="490" w:line="240" w:lineRule="auto"/>
        <w:ind w:left="0" w:right="0" w:firstLine="0"/>
        <w:jc w:val="center"/>
      </w:pPr>
      <w:r>
        <w:drawing>
          <wp:anchor distT="0" distB="0" distL="114300" distR="1903730" simplePos="0" relativeHeight="125829388" behindDoc="0" locked="0" layoutInCell="1" allowOverlap="1">
            <wp:simplePos x="0" y="0"/>
            <wp:positionH relativeFrom="page">
              <wp:posOffset>2702560</wp:posOffset>
            </wp:positionH>
            <wp:positionV relativeFrom="paragraph">
              <wp:posOffset>101600</wp:posOffset>
            </wp:positionV>
            <wp:extent cx="347345" cy="396240"/>
            <wp:wrapSquare wrapText="right"/>
            <wp:docPr id="25" name="Shape 2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box 26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47345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3114040</wp:posOffset>
                </wp:positionH>
                <wp:positionV relativeFrom="paragraph">
                  <wp:posOffset>193040</wp:posOffset>
                </wp:positionV>
                <wp:extent cx="1725295" cy="255905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45.20000000000002pt;margin-top:15.200000000000001pt;width:135.84999999999999pt;height:20.15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bookmarkStart w:id="12" w:name="bookmark12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В.А. Дьяконов</w:t>
      </w:r>
      <w:bookmarkEnd w:id="12"/>
    </w:p>
    <w:p>
      <w:pPr>
        <w:pStyle w:val="Style31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3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848484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Дьяконов Владимир Александрович</w:t>
      </w:r>
    </w:p>
    <w:p>
      <w:pPr>
        <w:pStyle w:val="Style3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00А9ЕЮ1Е166А21АЮВ58С4СО712С1СС9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С</w:t>
      </w:r>
    </w:p>
    <w:p>
      <w:pPr>
        <w:pStyle w:val="Style33"/>
        <w:keepNext w:val="0"/>
        <w:keepLines w:val="0"/>
        <w:widowControl w:val="0"/>
        <w:shd w:val="clear" w:color="auto" w:fill="auto"/>
        <w:bidi w:val="0"/>
        <w:spacing w:before="0" w:after="3980" w:line="240" w:lineRule="auto"/>
        <w:ind w:right="0" w:firstLine="0"/>
        <w:jc w:val="left"/>
      </w:pPr>
      <w:r>
        <w:rPr>
          <w:color w:val="6E6E6E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20202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05.09.2024 </w:t>
      </w:r>
      <w:r>
        <w:rPr>
          <w:color w:val="848484"/>
          <w:spacing w:val="0"/>
          <w:w w:val="100"/>
          <w:position w:val="0"/>
          <w:shd w:val="clear" w:color="auto" w:fill="auto"/>
          <w:lang w:val="ru-RU" w:eastAsia="ru-RU" w:bidi="ru-RU"/>
        </w:rPr>
        <w:t>по 29.1</w:t>
      </w:r>
      <w:r>
        <w:rPr>
          <w:color w:val="202020"/>
          <w:spacing w:val="0"/>
          <w:w w:val="100"/>
          <w:position w:val="0"/>
          <w:shd w:val="clear" w:color="auto" w:fill="auto"/>
          <w:lang w:val="ru-RU" w:eastAsia="ru-RU" w:bidi="ru-RU"/>
        </w:rPr>
        <w:t>1</w:t>
      </w:r>
      <w:r>
        <w:rPr>
          <w:color w:val="6E6E6E"/>
          <w:spacing w:val="0"/>
          <w:w w:val="100"/>
          <w:position w:val="0"/>
          <w:shd w:val="clear" w:color="auto" w:fill="auto"/>
          <w:lang w:val="ru-RU" w:eastAsia="ru-RU" w:bidi="ru-RU"/>
        </w:rPr>
        <w:t>.2025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Исп.Винницкая П.Д.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тел.8(4822) 34-24-31, вн. 069-113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671" w:right="546" w:bottom="1633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722630</wp:posOffset>
              </wp:positionH>
              <wp:positionV relativeFrom="page">
                <wp:posOffset>9885045</wp:posOffset>
              </wp:positionV>
              <wp:extent cx="631190" cy="10033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119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2024-8911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56.899999999999999pt;margin-top:778.35000000000002pt;width:49.700000000000003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2024-8911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631190" cy="10033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119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2024-8911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7.pt;margin-top:776.20000000000005pt;width:49.700000000000003pt;height:7.90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2024-8911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3926205</wp:posOffset>
              </wp:positionH>
              <wp:positionV relativeFrom="page">
                <wp:posOffset>626745</wp:posOffset>
              </wp:positionV>
              <wp:extent cx="64135" cy="103505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13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309.15000000000003pt;margin-top:49.350000000000001pt;width:5.0499999999999998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6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099"/>
      <w:sz w:val="134"/>
      <w:szCs w:val="134"/>
      <w:u w:val="single"/>
    </w:rPr>
  </w:style>
  <w:style w:type="character" w:customStyle="1" w:styleId="CharStyle5">
    <w:name w:val="Колонтитул (2)_"/>
    <w:basedOn w:val="DefaultParagraphFont"/>
    <w:link w:val="Styl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8">
    <w:name w:val="Основной текст (3)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099"/>
      <w:sz w:val="16"/>
      <w:szCs w:val="16"/>
      <w:u w:val="none"/>
    </w:rPr>
  </w:style>
  <w:style w:type="character" w:customStyle="1" w:styleId="CharStyle11">
    <w:name w:val="Основной текст (4)_"/>
    <w:basedOn w:val="DefaultParagraphFont"/>
    <w:link w:val="Style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099"/>
      <w:sz w:val="19"/>
      <w:szCs w:val="19"/>
      <w:u w:val="none"/>
    </w:rPr>
  </w:style>
  <w:style w:type="character" w:customStyle="1" w:styleId="CharStyle13">
    <w:name w:val="Заголовок №2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8">
    <w:name w:val="Основной текст_"/>
    <w:basedOn w:val="DefaultParagraphFont"/>
    <w:link w:val="Style1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21">
    <w:name w:val="Подпись к картинке_"/>
    <w:basedOn w:val="DefaultParagraphFont"/>
    <w:link w:val="Style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02020"/>
      <w:sz w:val="12"/>
      <w:szCs w:val="12"/>
      <w:u w:val="none"/>
    </w:rPr>
  </w:style>
  <w:style w:type="character" w:customStyle="1" w:styleId="CharStyle25">
    <w:name w:val="Заголовок №1_"/>
    <w:basedOn w:val="DefaultParagraphFont"/>
    <w:link w:val="Style24"/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character" w:customStyle="1" w:styleId="CharStyle28">
    <w:name w:val="Заголовок №3_"/>
    <w:basedOn w:val="DefaultParagraphFont"/>
    <w:link w:val="Style2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32">
    <w:name w:val="Основной текст (5)_"/>
    <w:basedOn w:val="DefaultParagraphFont"/>
    <w:link w:val="Style31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3E3E3"/>
      <w:sz w:val="12"/>
      <w:szCs w:val="12"/>
      <w:u w:val="none"/>
    </w:rPr>
  </w:style>
  <w:style w:type="character" w:customStyle="1" w:styleId="CharStyle34">
    <w:name w:val="Основной текст (2)_"/>
    <w:basedOn w:val="DefaultParagraphFont"/>
    <w:link w:val="Style33"/>
    <w:rPr>
      <w:rFonts w:ascii="Arial" w:eastAsia="Arial" w:hAnsi="Arial" w:cs="Arial"/>
      <w:b w:val="0"/>
      <w:bCs w:val="0"/>
      <w:i w:val="0"/>
      <w:iCs w:val="0"/>
      <w:smallCaps w:val="0"/>
      <w:strike w:val="0"/>
      <w:color w:val="474747"/>
      <w:sz w:val="12"/>
      <w:szCs w:val="12"/>
      <w:u w:val="none"/>
    </w:rPr>
  </w:style>
  <w:style w:type="paragraph" w:customStyle="1" w:styleId="Style2">
    <w:name w:val="Основной текст (6)"/>
    <w:basedOn w:val="Normal"/>
    <w:link w:val="CharStyle3"/>
    <w:pPr>
      <w:widowControl w:val="0"/>
      <w:shd w:val="clear" w:color="auto" w:fill="auto"/>
      <w:spacing w:after="6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099"/>
      <w:sz w:val="134"/>
      <w:szCs w:val="134"/>
      <w:u w:val="single"/>
    </w:rPr>
  </w:style>
  <w:style w:type="paragraph" w:customStyle="1" w:styleId="Style4">
    <w:name w:val="Колонтитул (2)"/>
    <w:basedOn w:val="Normal"/>
    <w:link w:val="CharStyle5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7">
    <w:name w:val="Основной текст (3)"/>
    <w:basedOn w:val="Normal"/>
    <w:link w:val="CharStyle8"/>
    <w:pPr>
      <w:widowControl w:val="0"/>
      <w:shd w:val="clear" w:color="auto" w:fill="auto"/>
      <w:spacing w:after="20" w:line="269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099"/>
      <w:sz w:val="16"/>
      <w:szCs w:val="16"/>
      <w:u w:val="none"/>
    </w:rPr>
  </w:style>
  <w:style w:type="paragraph" w:customStyle="1" w:styleId="Style10">
    <w:name w:val="Основной текст (4)"/>
    <w:basedOn w:val="Normal"/>
    <w:link w:val="CharStyle11"/>
    <w:pPr>
      <w:widowControl w:val="0"/>
      <w:shd w:val="clear" w:color="auto" w:fill="auto"/>
      <w:spacing w:after="18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099"/>
      <w:sz w:val="19"/>
      <w:szCs w:val="19"/>
      <w:u w:val="none"/>
    </w:rPr>
  </w:style>
  <w:style w:type="paragraph" w:customStyle="1" w:styleId="Style12">
    <w:name w:val="Заголовок №2"/>
    <w:basedOn w:val="Normal"/>
    <w:link w:val="CharStyle13"/>
    <w:pPr>
      <w:widowControl w:val="0"/>
      <w:shd w:val="clear" w:color="auto" w:fill="auto"/>
      <w:spacing w:after="320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customStyle="1" w:styleId="Style17">
    <w:name w:val="Основной текст"/>
    <w:basedOn w:val="Normal"/>
    <w:link w:val="CharStyle18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20">
    <w:name w:val="Подпись к картинке"/>
    <w:basedOn w:val="Normal"/>
    <w:link w:val="CharStyle21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02020"/>
      <w:sz w:val="12"/>
      <w:szCs w:val="12"/>
      <w:u w:val="none"/>
    </w:rPr>
  </w:style>
  <w:style w:type="paragraph" w:customStyle="1" w:styleId="Style24">
    <w:name w:val="Заголовок №1"/>
    <w:basedOn w:val="Normal"/>
    <w:link w:val="CharStyle25"/>
    <w:pPr>
      <w:widowControl w:val="0"/>
      <w:shd w:val="clear" w:color="auto" w:fill="auto"/>
      <w:spacing w:after="34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paragraph" w:customStyle="1" w:styleId="Style27">
    <w:name w:val="Заголовок №3"/>
    <w:basedOn w:val="Normal"/>
    <w:link w:val="CharStyle28"/>
    <w:pPr>
      <w:widowControl w:val="0"/>
      <w:shd w:val="clear" w:color="auto" w:fill="auto"/>
      <w:spacing w:after="120"/>
      <w:outlineLvl w:val="2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31">
    <w:name w:val="Основной текст (5)"/>
    <w:basedOn w:val="Normal"/>
    <w:link w:val="CharStyle32"/>
    <w:pPr>
      <w:widowControl w:val="0"/>
      <w:shd w:val="clear" w:color="auto" w:fill="auto"/>
      <w:spacing w:after="90"/>
      <w:jc w:val="center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3E3E3"/>
      <w:sz w:val="12"/>
      <w:szCs w:val="12"/>
      <w:u w:val="none"/>
    </w:rPr>
  </w:style>
  <w:style w:type="paragraph" w:customStyle="1" w:styleId="Style33">
    <w:name w:val="Основной текст (2)"/>
    <w:basedOn w:val="Normal"/>
    <w:link w:val="CharStyle34"/>
    <w:pPr>
      <w:widowControl w:val="0"/>
      <w:shd w:val="clear" w:color="auto" w:fill="auto"/>
      <w:ind w:left="316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74747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header" Target="header2.xml"/><Relationship Id="rId8" Type="http://schemas.openxmlformats.org/officeDocument/2006/relationships/footer" Target="footer2.xml"/><Relationship Id="rId9" Type="http://schemas.openxmlformats.org/officeDocument/2006/relationships/image" Target="media/image1.jpeg"/><Relationship Id="rId10" Type="http://schemas.openxmlformats.org/officeDocument/2006/relationships/image" Target="media/image1.jpeg" TargetMode="External"/><Relationship Id="rId11" Type="http://schemas.openxmlformats.org/officeDocument/2006/relationships/image" Target="media/image2.jpeg"/><Relationship Id="rId12" Type="http://schemas.openxmlformats.org/officeDocument/2006/relationships/image" Target="media/image2.jpeg" TargetMode="External"/><Relationship Id="rId13" Type="http://schemas.openxmlformats.org/officeDocument/2006/relationships/image" Target="media/image3.jpeg"/><Relationship Id="rId14" Type="http://schemas.openxmlformats.org/officeDocument/2006/relationships/image" Target="media/image3.jpeg" TargetMode="External"/></Relationships>
</file>

<file path=docProps/core.xml><?xml version="1.0" encoding="utf-8"?>
<cp:coreProperties xmlns:cp="http://schemas.openxmlformats.org/package/2006/metadata/core-properties" xmlns:dc="http://purl.org/dc/elements/1.1/">
  <dc:title>Решение Астраханского УФАС России от 06.05.2024 N 030/06/42-450/2024Нарушение: ч. 4, 8 ст. 32, п. 11 ч. 1, п. 4 ч. 2 ст. 42 Закона о контрактной системе.Решение: Признать жалобу обоснованной; выдать предписание об устранении нарушений; передать материалы дела должностному лицу для решения вопроса о возбуждении дела об административном правонарушении.</dc:title>
  <dc:subject/>
  <dc:creator/>
  <cp:keywords/>
</cp:coreProperties>
</file>