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902" w:h="451" w:wrap="none" w:hAnchor="page" w:x="1763" w:y="207"/>
        <w:widowControl w:val="0"/>
        <w:shd w:val="clear" w:color="auto" w:fill="auto"/>
        <w:bidi w:val="0"/>
        <w:spacing w:before="0" w:after="4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framePr w:w="2902" w:h="451" w:wrap="none" w:hAnchor="page" w:x="1763" w:y="207"/>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5"/>
        <w:keepNext w:val="0"/>
        <w:keepLines w:val="0"/>
        <w:framePr w:w="3821" w:h="2090" w:wrap="none" w:hAnchor="page" w:x="1302" w:y="812"/>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Томской области</w:t>
      </w:r>
    </w:p>
    <w:p>
      <w:pPr>
        <w:pStyle w:val="Style2"/>
        <w:keepNext w:val="0"/>
        <w:keepLines w:val="0"/>
        <w:framePr w:w="3821" w:h="2090" w:wrap="none" w:hAnchor="page" w:x="1302" w:y="812"/>
        <w:widowControl w:val="0"/>
        <w:shd w:val="clear" w:color="auto" w:fill="auto"/>
        <w:bidi w:val="0"/>
        <w:spacing w:before="0"/>
        <w:ind w:left="0" w:right="0" w:firstLine="0"/>
        <w:jc w:val="center"/>
      </w:pPr>
      <w:r>
        <w:rPr>
          <w:spacing w:val="0"/>
          <w:w w:val="100"/>
          <w:position w:val="0"/>
          <w:shd w:val="clear" w:color="auto" w:fill="auto"/>
          <w:lang w:val="ru-RU" w:eastAsia="ru-RU" w:bidi="ru-RU"/>
        </w:rPr>
        <w:t>Адрес места нахождения: г.Томск, пр-кт. Ленина, 111</w:t>
        <w:br/>
        <w:t>Почтовый адрес: 634069, г.Томск, пр-кт. Ленина, 111</w:t>
        <w:br/>
        <w:t>тел. (3822) 51-50-61, факс (3822) 51-29-80</w:t>
        <w:br/>
        <w:t>е-шаП: 1о70@Га8.§оу.ги</w:t>
      </w:r>
    </w:p>
    <w:p>
      <w:pPr>
        <w:pStyle w:val="Style7"/>
        <w:keepNext w:val="0"/>
        <w:keepLines w:val="0"/>
        <w:framePr w:w="3821" w:h="2090" w:wrap="none" w:hAnchor="page" w:x="1302" w:y="812"/>
        <w:widowControl w:val="0"/>
        <w:shd w:val="clear" w:color="auto" w:fill="auto"/>
        <w:tabs>
          <w:tab w:pos="1644" w:val="left"/>
        </w:tabs>
        <w:bidi w:val="0"/>
        <w:spacing w:before="0"/>
        <w:ind w:left="0" w:right="0" w:firstLine="0"/>
        <w:jc w:val="center"/>
      </w:pPr>
      <w:r>
        <w:rPr>
          <w:color w:val="000000"/>
          <w:spacing w:val="0"/>
          <w:w w:val="100"/>
          <w:position w:val="0"/>
          <w:shd w:val="clear" w:color="auto" w:fill="auto"/>
          <w:lang w:val="ru-RU" w:eastAsia="ru-RU" w:bidi="ru-RU"/>
        </w:rPr>
        <w:t>штамп</w:t>
        <w:br/>
        <w:t>регистрации</w:t>
        <w:tab/>
      </w:r>
      <w:r>
        <w:rPr>
          <w:color w:val="4061A9"/>
          <w:spacing w:val="0"/>
          <w:w w:val="100"/>
          <w:position w:val="0"/>
          <w:shd w:val="clear" w:color="auto" w:fill="auto"/>
          <w:lang w:val="ru-RU" w:eastAsia="ru-RU" w:bidi="ru-RU"/>
        </w:rPr>
        <w:t>хг</w:t>
      </w:r>
    </w:p>
    <w:p>
      <w:pPr>
        <w:pStyle w:val="Style5"/>
        <w:keepNext w:val="0"/>
        <w:keepLines w:val="0"/>
        <w:framePr w:w="4066" w:h="245" w:wrap="none" w:hAnchor="page" w:x="1139" w:y="3210"/>
        <w:widowControl w:val="0"/>
        <w:shd w:val="clear" w:color="auto" w:fill="auto"/>
        <w:bidi w:val="0"/>
        <w:spacing w:before="0" w:after="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от</w:t>
      </w:r>
    </w:p>
    <w:p>
      <w:pPr>
        <w:pStyle w:val="Style11"/>
        <w:keepNext w:val="0"/>
        <w:keepLines w:val="0"/>
        <w:framePr w:w="3907" w:h="569" w:wrap="none" w:hAnchor="page" w:x="1211" w:y="4038"/>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по делу №070/06/106- 841/2024</w:t>
      </w:r>
    </w:p>
    <w:p>
      <w:pPr>
        <w:pStyle w:val="Style11"/>
        <w:keepNext w:val="0"/>
        <w:keepLines w:val="0"/>
        <w:framePr w:w="4987" w:h="4214" w:wrap="none" w:hAnchor="page" w:x="6222" w:y="1"/>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ООО «Аксиомед»</w:t>
      </w:r>
    </w:p>
    <w:p>
      <w:pPr>
        <w:pStyle w:val="Style11"/>
        <w:keepNext w:val="0"/>
        <w:keepLines w:val="0"/>
        <w:framePr w:w="4987" w:h="4214" w:wrap="none" w:hAnchor="page" w:x="6222" w:y="1"/>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620142, Свердловская Область, г.о. Город</w:t>
      </w:r>
    </w:p>
    <w:p>
      <w:pPr>
        <w:pStyle w:val="Style11"/>
        <w:keepNext w:val="0"/>
        <w:keepLines w:val="0"/>
        <w:framePr w:w="4987" w:h="4214" w:wrap="none" w:hAnchor="page" w:x="6222" w:y="1"/>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Екатеринбург, г Екатеринбург, ул</w:t>
      </w:r>
    </w:p>
    <w:p>
      <w:pPr>
        <w:pStyle w:val="Style11"/>
        <w:keepNext w:val="0"/>
        <w:keepLines w:val="0"/>
        <w:framePr w:w="4987" w:h="4214" w:wrap="none" w:hAnchor="page" w:x="6222" w:y="1"/>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Чайковского, д. 56, помещ. 31</w:t>
      </w:r>
    </w:p>
    <w:p>
      <w:pPr>
        <w:pStyle w:val="Style11"/>
        <w:keepNext w:val="0"/>
        <w:keepLines w:val="0"/>
        <w:framePr w:w="4987" w:h="4214" w:wrap="none" w:hAnchor="page" w:x="6222" w:y="1"/>
        <w:widowControl w:val="0"/>
        <w:shd w:val="clear" w:color="auto" w:fill="auto"/>
        <w:bidi w:val="0"/>
        <w:spacing w:before="0" w:after="300"/>
        <w:ind w:left="0" w:right="0" w:firstLine="0"/>
        <w:jc w:val="both"/>
      </w:pPr>
      <w:r>
        <w:rPr>
          <w:color w:val="000000"/>
          <w:spacing w:val="0"/>
          <w:w w:val="100"/>
          <w:position w:val="0"/>
          <w:shd w:val="clear" w:color="auto" w:fill="auto"/>
          <w:lang w:val="ru-RU" w:eastAsia="ru-RU" w:bidi="ru-RU"/>
        </w:rPr>
        <w:t>ак8ю.тед@уапдех.ги</w:t>
      </w:r>
    </w:p>
    <w:p>
      <w:pPr>
        <w:pStyle w:val="Style11"/>
        <w:keepNext w:val="0"/>
        <w:keepLines w:val="0"/>
        <w:framePr w:w="4987" w:h="4214" w:wrap="none" w:hAnchor="page" w:x="6222" w:y="1"/>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ООО «РТС-тендер»</w:t>
      </w:r>
    </w:p>
    <w:p>
      <w:pPr>
        <w:pStyle w:val="Style11"/>
        <w:keepNext w:val="0"/>
        <w:keepLines w:val="0"/>
        <w:framePr w:w="4987" w:h="4214" w:wrap="none" w:hAnchor="page" w:x="6222" w:y="1"/>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121151, г. Москва, наб. Тараса Шевченко, д. 23А, 25 этаж, помещение 1</w:t>
      </w:r>
    </w:p>
    <w:p>
      <w:pPr>
        <w:pStyle w:val="Style11"/>
        <w:keepNext w:val="0"/>
        <w:keepLines w:val="0"/>
        <w:framePr w:w="4987" w:h="4214" w:wrap="none" w:hAnchor="page" w:x="6222" w:y="1"/>
        <w:widowControl w:val="0"/>
        <w:shd w:val="clear" w:color="auto" w:fill="auto"/>
        <w:bidi w:val="0"/>
        <w:spacing w:before="0" w:after="300"/>
        <w:ind w:left="0" w:right="0" w:firstLine="0"/>
        <w:jc w:val="both"/>
      </w:pPr>
      <w:r>
        <w:rPr>
          <w:color w:val="000000"/>
          <w:spacing w:val="0"/>
          <w:w w:val="100"/>
          <w:position w:val="0"/>
          <w:shd w:val="clear" w:color="auto" w:fill="auto"/>
          <w:lang w:val="ru-RU" w:eastAsia="ru-RU" w:bidi="ru-RU"/>
        </w:rPr>
        <w:t>ко@г1з-1еп4ег.ги</w:t>
      </w:r>
    </w:p>
    <w:p>
      <w:pPr>
        <w:pStyle w:val="Style11"/>
        <w:keepNext w:val="0"/>
        <w:keepLines w:val="0"/>
        <w:framePr w:w="4987" w:h="4214" w:wrap="none" w:hAnchor="page" w:x="6222" w:y="1"/>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ФГБУ «СибФНКЦ ФМБА России»</w:t>
      </w:r>
    </w:p>
    <w:p>
      <w:pPr>
        <w:pStyle w:val="Style11"/>
        <w:keepNext w:val="0"/>
        <w:keepLines w:val="0"/>
        <w:framePr w:w="4987" w:h="4214" w:wrap="none" w:hAnchor="page" w:x="6222" w:y="1"/>
        <w:widowControl w:val="0"/>
        <w:shd w:val="clear" w:color="auto" w:fill="auto"/>
        <w:bidi w:val="0"/>
        <w:spacing w:before="0" w:after="300"/>
        <w:ind w:left="0" w:right="0" w:firstLine="0"/>
        <w:jc w:val="both"/>
      </w:pPr>
      <w:r>
        <w:rPr>
          <w:color w:val="000000"/>
          <w:spacing w:val="0"/>
          <w:w w:val="100"/>
          <w:position w:val="0"/>
          <w:shd w:val="clear" w:color="auto" w:fill="auto"/>
          <w:lang w:val="ru-RU" w:eastAsia="ru-RU" w:bidi="ru-RU"/>
        </w:rPr>
        <w:t>т18@теё.1от8к.ги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45" w:line="1" w:lineRule="exact"/>
      </w:pPr>
    </w:p>
    <w:p>
      <w:pPr>
        <w:widowControl w:val="0"/>
        <w:spacing w:line="1" w:lineRule="exac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203" w:right="534" w:bottom="1218" w:left="1100" w:header="0" w:footer="3" w:gutter="0"/>
          <w:pgNumType w:start="1"/>
          <w:cols w:space="720"/>
          <w:noEndnote/>
          <w:titlePg/>
          <w:rtlGutter w:val="0"/>
          <w:docGrid w:linePitch="360"/>
        </w:sectPr>
      </w:pPr>
    </w:p>
    <w:p>
      <w:pPr>
        <w:pStyle w:val="Style11"/>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РЕШЕНИЕ</w:t>
      </w:r>
    </w:p>
    <w:p>
      <w:pPr>
        <w:pStyle w:val="Style11"/>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по делу №070/06/106-841/2024</w:t>
      </w:r>
    </w:p>
    <w:p>
      <w:pPr>
        <w:pStyle w:val="Style11"/>
        <w:keepNext w:val="0"/>
        <w:keepLines w:val="0"/>
        <w:widowControl w:val="0"/>
        <w:shd w:val="clear" w:color="auto" w:fill="auto"/>
        <w:bidi w:val="0"/>
        <w:spacing w:before="0" w:after="320"/>
        <w:ind w:left="0" w:right="0" w:firstLine="0"/>
        <w:jc w:val="center"/>
      </w:pPr>
      <w:r>
        <w:rPr>
          <w:color w:val="000000"/>
          <w:spacing w:val="0"/>
          <w:w w:val="100"/>
          <w:position w:val="0"/>
          <w:shd w:val="clear" w:color="auto" w:fill="auto"/>
          <w:lang w:val="ru-RU" w:eastAsia="ru-RU" w:bidi="ru-RU"/>
        </w:rPr>
        <w:t>по результатам рассмотрения жалобы о нарушении</w:t>
        <w:br/>
        <w:t>законодательства Российской Федерации</w:t>
        <w:br/>
        <w:t>о контрактной системе в сфере закупок</w:t>
      </w:r>
    </w:p>
    <w:p>
      <w:pPr>
        <w:pStyle w:val="Style11"/>
        <w:keepNext w:val="0"/>
        <w:keepLines w:val="0"/>
        <w:widowControl w:val="0"/>
        <w:shd w:val="clear" w:color="auto" w:fill="auto"/>
        <w:bidi w:val="0"/>
        <w:spacing w:before="0" w:after="32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6413500</wp:posOffset>
                </wp:positionH>
                <wp:positionV relativeFrom="paragraph">
                  <wp:posOffset>12700</wp:posOffset>
                </wp:positionV>
                <wp:extent cx="631190" cy="208915"/>
                <wp:wrapSquare wrapText="left"/>
                <wp:docPr id="7" name="Shape 7"/>
                <a:graphic xmlns:a="http://schemas.openxmlformats.org/drawingml/2006/main">
                  <a:graphicData uri="http://schemas.microsoft.com/office/word/2010/wordprocessingShape">
                    <wps:wsp>
                      <wps:cNvSpPr txBox="1"/>
                      <wps:spPr>
                        <a:xfrm>
                          <a:ext cx="631190" cy="20891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Томск</w:t>
                            </w:r>
                          </w:p>
                        </w:txbxContent>
                      </wps:txbx>
                      <wps:bodyPr wrap="none" lIns="0" tIns="0" rIns="0" bIns="0">
                        <a:noAutoFit/>
                      </wps:bodyPr>
                    </wps:wsp>
                  </a:graphicData>
                </a:graphic>
              </wp:anchor>
            </w:drawing>
          </mc:Choice>
          <mc:Fallback>
            <w:pict>
              <v:shape id="_x0000_s1033" type="#_x0000_t202" style="position:absolute;margin-left:505.pt;margin-top:1.pt;width:49.700000000000003pt;height:16.449999999999999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Томск</w:t>
                      </w:r>
                    </w:p>
                  </w:txbxContent>
                </v:textbox>
                <w10:wrap type="square" side="left" anchorx="page"/>
              </v:shape>
            </w:pict>
          </mc:Fallback>
        </mc:AlternateContent>
      </w:r>
      <w:r>
        <w:rPr>
          <w:color w:val="000000"/>
          <w:spacing w:val="0"/>
          <w:w w:val="100"/>
          <w:position w:val="0"/>
          <w:shd w:val="clear" w:color="auto" w:fill="auto"/>
          <w:lang w:val="ru-RU" w:eastAsia="ru-RU" w:bidi="ru-RU"/>
        </w:rPr>
        <w:t>19.09.2024</w:t>
      </w:r>
    </w:p>
    <w:p>
      <w:pPr>
        <w:pStyle w:val="Style11"/>
        <w:keepNext w:val="0"/>
        <w:keepLines w:val="0"/>
        <w:widowControl w:val="0"/>
        <w:shd w:val="clear" w:color="auto" w:fill="auto"/>
        <w:bidi w:val="0"/>
        <w:spacing w:before="0" w:after="0"/>
        <w:ind w:left="0" w:right="0" w:firstLine="74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(далее - Комиссия Томского УФАС России, Комиссия) в составе: председателя комиссии:</w:t>
      </w:r>
    </w:p>
    <w:p>
      <w:pPr>
        <w:pStyle w:val="Style11"/>
        <w:keepNext w:val="0"/>
        <w:keepLines w:val="0"/>
        <w:widowControl w:val="0"/>
        <w:shd w:val="clear" w:color="auto" w:fill="auto"/>
        <w:tabs>
          <w:tab w:pos="2658" w:val="left"/>
        </w:tabs>
        <w:bidi w:val="0"/>
        <w:spacing w:before="0" w:after="0"/>
        <w:ind w:left="0" w:right="0" w:firstLine="0"/>
        <w:jc w:val="left"/>
      </w:pPr>
      <w:r>
        <w:rPr>
          <w:color w:val="000000"/>
          <w:spacing w:val="0"/>
          <w:w w:val="100"/>
          <w:position w:val="0"/>
          <w:shd w:val="clear" w:color="auto" w:fill="auto"/>
          <w:lang w:val="ru-RU" w:eastAsia="ru-RU" w:bidi="ru-RU"/>
        </w:rPr>
        <w:t>А А.Ф.</w:t>
        <w:tab/>
        <w:t>- заместителя руководителя управления;</w:t>
      </w:r>
    </w:p>
    <w:p>
      <w:pPr>
        <w:pStyle w:val="Style11"/>
        <w:keepNext w:val="0"/>
        <w:keepLines w:val="0"/>
        <w:widowControl w:val="0"/>
        <w:shd w:val="clear" w:color="auto" w:fill="auto"/>
        <w:bidi w:val="0"/>
        <w:spacing w:before="0" w:after="60"/>
        <w:ind w:left="0" w:right="0" w:firstLine="0"/>
        <w:jc w:val="left"/>
      </w:pPr>
      <w:r>
        <w:rPr>
          <w:color w:val="000000"/>
          <w:spacing w:val="0"/>
          <w:w w:val="100"/>
          <w:position w:val="0"/>
          <w:shd w:val="clear" w:color="auto" w:fill="auto"/>
          <w:lang w:val="ru-RU" w:eastAsia="ru-RU" w:bidi="ru-RU"/>
        </w:rPr>
        <w:t>членов комиссии:</w:t>
      </w:r>
    </w:p>
    <w:p>
      <w:pPr>
        <w:pStyle w:val="Style11"/>
        <w:keepNext w:val="0"/>
        <w:keepLines w:val="0"/>
        <w:widowControl w:val="0"/>
        <w:shd w:val="clear" w:color="auto" w:fill="auto"/>
        <w:tabs>
          <w:tab w:pos="2658" w:val="left"/>
        </w:tabs>
        <w:bidi w:val="0"/>
        <w:spacing w:before="0" w:after="320"/>
        <w:ind w:left="0" w:right="0" w:firstLine="0"/>
        <w:jc w:val="left"/>
      </w:pPr>
      <w:r>
        <w:rPr>
          <w:color w:val="000000"/>
          <w:spacing w:val="0"/>
          <w:w w:val="100"/>
          <w:position w:val="0"/>
          <w:shd w:val="clear" w:color="auto" w:fill="auto"/>
          <w:lang w:val="ru-RU" w:eastAsia="ru-RU" w:bidi="ru-RU"/>
        </w:rPr>
        <w:t>Д А.В.</w:t>
        <w:tab/>
        <w:t>- врио начальника отдела монополистической деятельности;</w:t>
      </w:r>
    </w:p>
    <w:p>
      <w:pPr>
        <w:pStyle w:val="Style11"/>
        <w:keepNext w:val="0"/>
        <w:keepLines w:val="0"/>
        <w:widowControl w:val="0"/>
        <w:shd w:val="clear" w:color="auto" w:fill="auto"/>
        <w:tabs>
          <w:tab w:pos="2658" w:val="left"/>
        </w:tabs>
        <w:bidi w:val="0"/>
        <w:spacing w:before="0" w:after="0"/>
        <w:ind w:left="0" w:right="0" w:firstLine="0"/>
        <w:jc w:val="both"/>
      </w:pPr>
      <w:r>
        <w:rPr>
          <w:color w:val="000000"/>
          <w:spacing w:val="0"/>
          <w:w w:val="100"/>
          <w:position w:val="0"/>
          <w:shd w:val="clear" w:color="auto" w:fill="auto"/>
          <w:lang w:val="ru-RU" w:eastAsia="ru-RU" w:bidi="ru-RU"/>
        </w:rPr>
        <w:t>И.З.</w:t>
        <w:tab/>
        <w:t>- специалиста-эксперта отдела контроля органов власти и</w:t>
      </w:r>
    </w:p>
    <w:p>
      <w:pPr>
        <w:pStyle w:val="Style11"/>
        <w:keepNext w:val="0"/>
        <w:keepLines w:val="0"/>
        <w:widowControl w:val="0"/>
        <w:shd w:val="clear" w:color="auto" w:fill="auto"/>
        <w:bidi w:val="0"/>
        <w:spacing w:before="0" w:after="60"/>
        <w:ind w:left="2680" w:right="0" w:firstLine="0"/>
        <w:jc w:val="left"/>
      </w:pPr>
      <w:r>
        <w:rPr>
          <w:color w:val="000000"/>
          <w:spacing w:val="0"/>
          <w:w w:val="100"/>
          <w:position w:val="0"/>
          <w:shd w:val="clear" w:color="auto" w:fill="auto"/>
          <w:lang w:val="ru-RU" w:eastAsia="ru-RU" w:bidi="ru-RU"/>
        </w:rPr>
        <w:t>торгов,</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рассмотрев жалобу, поступившую от ООО «Аксиомед» (вх. №7638-ЭП/24 от 16.09.2024) на действия Заказчика - ФГБУ «СибФНКЦ ФМБА России» при проведении электронного аукциона «Поставка товара (Перчатки)» (извещение № 0365100016324000353),</w:t>
      </w:r>
    </w:p>
    <w:p>
      <w:pPr>
        <w:pStyle w:val="Style11"/>
        <w:keepNext w:val="0"/>
        <w:keepLines w:val="0"/>
        <w:widowControl w:val="0"/>
        <w:shd w:val="clear" w:color="auto" w:fill="auto"/>
        <w:bidi w:val="0"/>
        <w:spacing w:before="0" w:after="320"/>
        <w:ind w:left="0" w:right="0" w:firstLine="740"/>
        <w:jc w:val="both"/>
      </w:pPr>
      <w:r>
        <w:rPr>
          <w:color w:val="000000"/>
          <w:spacing w:val="0"/>
          <w:w w:val="100"/>
          <w:position w:val="0"/>
          <w:shd w:val="clear" w:color="auto" w:fill="auto"/>
          <w:lang w:val="ru-RU" w:eastAsia="ru-RU" w:bidi="ru-RU"/>
        </w:rPr>
        <w:t>в отсутствие представителей Заказчика, Заявителя, уведомленных о времени и месте рассмотрения дела,</w:t>
      </w:r>
    </w:p>
    <w:p>
      <w:pPr>
        <w:pStyle w:val="Style11"/>
        <w:keepNext w:val="0"/>
        <w:keepLines w:val="0"/>
        <w:widowControl w:val="0"/>
        <w:shd w:val="clear" w:color="auto" w:fill="auto"/>
        <w:bidi w:val="0"/>
        <w:spacing w:before="0" w:after="320"/>
        <w:ind w:left="0" w:right="0" w:firstLine="0"/>
        <w:jc w:val="center"/>
      </w:pPr>
      <w:r>
        <w:rPr>
          <w:color w:val="000000"/>
          <w:spacing w:val="0"/>
          <w:w w:val="100"/>
          <w:position w:val="0"/>
          <w:shd w:val="clear" w:color="auto" w:fill="auto"/>
          <w:lang w:val="ru-RU" w:eastAsia="ru-RU" w:bidi="ru-RU"/>
        </w:rPr>
        <w:t>УСТАНОВИЛА:</w:t>
      </w:r>
    </w:p>
    <w:p>
      <w:pPr>
        <w:widowControl w:val="0"/>
        <w:spacing w:line="1" w:lineRule="exact"/>
      </w:pPr>
      <w:r>
        <w:drawing>
          <wp:anchor distT="25400" distB="0" distL="0" distR="0" simplePos="0" relativeHeight="125829380" behindDoc="0" locked="0" layoutInCell="1" allowOverlap="1">
            <wp:simplePos x="0" y="0"/>
            <wp:positionH relativeFrom="page">
              <wp:posOffset>713740</wp:posOffset>
            </wp:positionH>
            <wp:positionV relativeFrom="paragraph">
              <wp:posOffset>25400</wp:posOffset>
            </wp:positionV>
            <wp:extent cx="152400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24000" cy="292735"/>
                    </a:xfrm>
                    <a:prstGeom prst="rect"/>
                  </pic:spPr>
                </pic:pic>
              </a:graphicData>
            </a:graphic>
          </wp:anchor>
        </w:drawing>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Томское УФАС России обратился Заявитель с жалобой, поданной в срок и соответствующей статье 105 Закона 44-ФЗ на действия Заказчика - ФГБУ «СибФНКЦ ФМБА России» при проведении электронного аукциона «Поставка товара (Перчатки)» (извещение № 0365100016324000353), 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Из жалобы Заявителя следует:</w:t>
      </w:r>
    </w:p>
    <w:p>
      <w:pPr>
        <w:pStyle w:val="Style11"/>
        <w:keepNext w:val="0"/>
        <w:keepLines w:val="0"/>
        <w:widowControl w:val="0"/>
        <w:numPr>
          <w:ilvl w:val="0"/>
          <w:numId w:val="1"/>
        </w:numPr>
        <w:shd w:val="clear" w:color="auto" w:fill="auto"/>
        <w:tabs>
          <w:tab w:pos="1421" w:val="left"/>
        </w:tabs>
        <w:bidi w:val="0"/>
        <w:spacing w:before="0" w:after="0"/>
        <w:ind w:left="0" w:right="0" w:firstLine="740"/>
        <w:jc w:val="both"/>
      </w:pPr>
      <w:r>
        <w:rPr>
          <w:color w:val="000000"/>
          <w:spacing w:val="0"/>
          <w:w w:val="100"/>
          <w:position w:val="0"/>
          <w:shd w:val="clear" w:color="auto" w:fill="auto"/>
          <w:lang w:val="ru-RU" w:eastAsia="ru-RU" w:bidi="ru-RU"/>
        </w:rPr>
        <w:t>Заказчиком по позиции №5-8 описания объекта закупки установлены излишние требования к поставляемому товару: Перчатки смотровые/процедурные из латекса гевеи, неопудренные, нестерильные с повторяющимися кольцевыми анатомическими расширениями в области суставов пальцев. Указание данной характеристики ограничивает участников закупки;</w:t>
      </w:r>
    </w:p>
    <w:p>
      <w:pPr>
        <w:pStyle w:val="Style11"/>
        <w:keepNext w:val="0"/>
        <w:keepLines w:val="0"/>
        <w:widowControl w:val="0"/>
        <w:numPr>
          <w:ilvl w:val="0"/>
          <w:numId w:val="1"/>
        </w:numPr>
        <w:shd w:val="clear" w:color="auto" w:fill="auto"/>
        <w:tabs>
          <w:tab w:pos="1421" w:val="left"/>
        </w:tabs>
        <w:bidi w:val="0"/>
        <w:spacing w:before="0" w:after="0"/>
        <w:ind w:left="0" w:right="0" w:firstLine="740"/>
        <w:jc w:val="both"/>
      </w:pPr>
      <w:r>
        <w:rPr>
          <w:color w:val="000000"/>
          <w:spacing w:val="0"/>
          <w:w w:val="100"/>
          <w:position w:val="0"/>
          <w:shd w:val="clear" w:color="auto" w:fill="auto"/>
          <w:lang w:val="ru-RU" w:eastAsia="ru-RU" w:bidi="ru-RU"/>
        </w:rPr>
        <w:t>По позиции №5-7 описания объекта закупки установлены излишние требования к поставляемому товару: Внешняя отделка - поверхность перчатки в области дистальных фаланг указательного и среднего пальца гладкая, остальная поверхность перчатки текстурированная. По позиции №8 описания объекта закупки установлены излишние требования к поставляемому товару: Внешняя отделка - текстурный рисунок в области пальцев и ладони. Указание данной характеристики ограничивает участников закупки;</w:t>
      </w:r>
    </w:p>
    <w:p>
      <w:pPr>
        <w:pStyle w:val="Style11"/>
        <w:keepNext w:val="0"/>
        <w:keepLines w:val="0"/>
        <w:widowControl w:val="0"/>
        <w:numPr>
          <w:ilvl w:val="0"/>
          <w:numId w:val="1"/>
        </w:numPr>
        <w:shd w:val="clear" w:color="auto" w:fill="auto"/>
        <w:tabs>
          <w:tab w:pos="1421" w:val="left"/>
        </w:tabs>
        <w:bidi w:val="0"/>
        <w:spacing w:before="0" w:after="0"/>
        <w:ind w:left="0" w:right="0" w:firstLine="740"/>
        <w:jc w:val="both"/>
      </w:pPr>
      <w:r>
        <w:rPr>
          <w:color w:val="000000"/>
          <w:spacing w:val="0"/>
          <w:w w:val="100"/>
          <w:position w:val="0"/>
          <w:shd w:val="clear" w:color="auto" w:fill="auto"/>
          <w:lang w:val="ru-RU" w:eastAsia="ru-RU" w:bidi="ru-RU"/>
        </w:rPr>
        <w:t>Заказчиком установлены требования в описании объекта закупки к цвету перчаток, хотя цвет не является функциональной, технической, качественной или эксплуатационной характеристикой, а обоснование не соответствует действительности применения данного требования.</w:t>
      </w:r>
    </w:p>
    <w:p>
      <w:pPr>
        <w:pStyle w:val="Style11"/>
        <w:keepNext w:val="0"/>
        <w:keepLines w:val="0"/>
        <w:widowControl w:val="0"/>
        <w:numPr>
          <w:ilvl w:val="0"/>
          <w:numId w:val="1"/>
        </w:numPr>
        <w:shd w:val="clear" w:color="auto" w:fill="auto"/>
        <w:tabs>
          <w:tab w:pos="2161" w:val="left"/>
        </w:tabs>
        <w:bidi w:val="0"/>
        <w:spacing w:before="0" w:after="0"/>
        <w:ind w:left="0" w:right="0" w:firstLine="740"/>
        <w:jc w:val="both"/>
      </w:pPr>
      <w:r>
        <w:rPr>
          <w:color w:val="000000"/>
          <w:spacing w:val="0"/>
          <w:w w:val="100"/>
          <w:position w:val="0"/>
          <w:shd w:val="clear" w:color="auto" w:fill="auto"/>
          <w:lang w:val="ru-RU" w:eastAsia="ru-RU" w:bidi="ru-RU"/>
        </w:rPr>
        <w:t>Описание объекта закупки составлено под одного производителя товара.</w:t>
      </w:r>
    </w:p>
    <w:p>
      <w:pPr>
        <w:pStyle w:val="Style11"/>
        <w:keepNext w:val="0"/>
        <w:keepLines w:val="0"/>
        <w:widowControl w:val="0"/>
        <w:numPr>
          <w:ilvl w:val="0"/>
          <w:numId w:val="1"/>
        </w:numPr>
        <w:shd w:val="clear" w:color="auto" w:fill="auto"/>
        <w:tabs>
          <w:tab w:pos="1421" w:val="left"/>
        </w:tabs>
        <w:bidi w:val="0"/>
        <w:spacing w:before="0" w:after="0"/>
        <w:ind w:left="0" w:right="0" w:firstLine="740"/>
        <w:jc w:val="both"/>
      </w:pPr>
      <w:r>
        <w:rPr>
          <w:color w:val="000000"/>
          <w:spacing w:val="0"/>
          <w:w w:val="100"/>
          <w:position w:val="0"/>
          <w:shd w:val="clear" w:color="auto" w:fill="auto"/>
          <w:lang w:val="ru-RU" w:eastAsia="ru-RU" w:bidi="ru-RU"/>
        </w:rPr>
        <w:t>Проектом контракта предусмотрен срок годности товара, между тем в структурированной форме извещения отсутствуют информация по сроку годности товара.</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Заказчик в письменных пояснениях не согласился с доводами жалобы, просит признать жалобу необоснованной.</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Томского УФАС России установила следующее.</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Извещение №0365100016324000353 о проведении закупки размещено на Официальном сайте единой информационной системы в сфере закупок в информационно-телекоммуникационной сети Интернет (далее - Официальный сайт, ЕИС) 03.09.2024.</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Цена контракта: 549 980,00 руб.</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Предмет закупки: Поставка товара (Перчатки).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участие в аукционе подана 1 заявка.</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В силу части 1 статьи 105 Закона о контрактной системе при проведении конкурентных способов, при осуществлении закупки товара у единственного </w:t>
      </w:r>
      <w:r>
        <w:rPr>
          <w:color w:val="000000"/>
          <w:spacing w:val="0"/>
          <w:w w:val="100"/>
          <w:position w:val="0"/>
          <w:shd w:val="clear" w:color="auto" w:fill="auto"/>
          <w:lang w:val="ru-RU" w:eastAsia="ru-RU" w:bidi="ru-RU"/>
        </w:rPr>
        <w:t>поставщика в электронной форме на сумму, предусмотренную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 Таким образом, право подачи жалобы в контрольный орган в сфере закупок в порядке, установленном главой 6 Закона, предоставлено участнику закупки при условии, если обжалуемые действия (бездействие) субъекта контроля нарушают права и законные интересы такого участника закупки.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По смыслу статьи Закона о контрактной системе в сфере закупок направлена на создание равных условий для обеспечения конкуренции между участниками закупок. Любое заинтересованное лицо должно иметь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1 статьи, обеспечиваются, в частности, путем ее размещения в единой информационной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Относительно первого довода Заявителя Комиссия Томского УФАС России установила следующие.</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пункту 1 части 2 статьи 42 Закона №44-ФЗ,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Частью 1 статьи 33 Закона №44-ФЗ определено,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w:t>
      </w:r>
      <w:r>
        <w:rPr>
          <w:color w:val="000000"/>
          <w:spacing w:val="0"/>
          <w:w w:val="100"/>
          <w:position w:val="0"/>
          <w:shd w:val="clear" w:color="auto" w:fill="auto"/>
          <w:lang w:val="ru-RU" w:eastAsia="ru-RU" w:bidi="ru-RU"/>
        </w:rPr>
        <w:t>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силу части 2 статьи 33 Закона №44-ФЗ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Из совокупного толкования пункта 1, 2 части 1, части 2 статьи 33 Закона №44- ФЗ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Частью 6 статьи 23 Закона №44-ФЗ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Пунктами 3,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(далее - Правила), установлено, что заказчики должны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Пунктом 5 Правил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которые не предусмотрены в позиции каталога, за исключением случаев, предусмотренными Правилами.</w:t>
      </w:r>
    </w:p>
    <w:p>
      <w:pPr>
        <w:pStyle w:val="Style11"/>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В силу пункта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pPr>
        <w:pStyle w:val="Style11"/>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Из содержания извещения о проведении закупки следует, что объектом закупки являются:</w:t>
      </w:r>
    </w:p>
    <w:p>
      <w:pPr>
        <w:pStyle w:val="Style11"/>
        <w:keepNext w:val="0"/>
        <w:keepLines w:val="0"/>
        <w:widowControl w:val="0"/>
        <w:numPr>
          <w:ilvl w:val="0"/>
          <w:numId w:val="3"/>
        </w:numPr>
        <w:shd w:val="clear" w:color="auto" w:fill="auto"/>
        <w:tabs>
          <w:tab w:pos="1154" w:val="left"/>
          <w:tab w:pos="1197" w:val="left"/>
          <w:tab w:pos="2454" w:val="left"/>
          <w:tab w:pos="5670" w:val="left"/>
          <w:tab w:pos="6232" w:val="left"/>
          <w:tab w:pos="7418" w:val="left"/>
          <w:tab w:pos="8397" w:val="left"/>
        </w:tabs>
        <w:bidi w:val="0"/>
        <w:spacing w:before="0" w:after="0"/>
        <w:ind w:left="0" w:right="0" w:firstLine="760"/>
        <w:jc w:val="both"/>
      </w:pPr>
      <w:r>
        <w:rPr>
          <w:color w:val="000000"/>
          <w:spacing w:val="0"/>
          <w:w w:val="100"/>
          <w:position w:val="0"/>
          <w:shd w:val="clear" w:color="auto" w:fill="auto"/>
          <w:lang w:val="ru-RU" w:eastAsia="ru-RU" w:bidi="ru-RU"/>
        </w:rPr>
        <w:t>Перчатки</w:t>
        <w:tab/>
        <w:t>смотровые/процедурные</w:t>
        <w:tab/>
        <w:t>из</w:t>
        <w:tab/>
        <w:t>латекса</w:t>
        <w:tab/>
        <w:t>гевеи,</w:t>
        <w:tab/>
        <w:t>неопудренные,</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нестерильные с кодом КТРУ 22.19.60.119-00000002;</w:t>
      </w:r>
    </w:p>
    <w:p>
      <w:pPr>
        <w:pStyle w:val="Style11"/>
        <w:keepNext w:val="0"/>
        <w:keepLines w:val="0"/>
        <w:widowControl w:val="0"/>
        <w:numPr>
          <w:ilvl w:val="0"/>
          <w:numId w:val="3"/>
        </w:numPr>
        <w:shd w:val="clear" w:color="auto" w:fill="auto"/>
        <w:tabs>
          <w:tab w:pos="1154" w:val="left"/>
          <w:tab w:pos="1197" w:val="left"/>
          <w:tab w:pos="2454" w:val="left"/>
          <w:tab w:pos="5670" w:val="left"/>
          <w:tab w:pos="6232" w:val="left"/>
          <w:tab w:pos="7418" w:val="left"/>
          <w:tab w:pos="8397" w:val="left"/>
        </w:tabs>
        <w:bidi w:val="0"/>
        <w:spacing w:before="0" w:after="0"/>
        <w:ind w:left="0" w:right="0" w:firstLine="760"/>
        <w:jc w:val="both"/>
      </w:pPr>
      <w:r>
        <w:rPr>
          <w:color w:val="000000"/>
          <w:spacing w:val="0"/>
          <w:w w:val="100"/>
          <w:position w:val="0"/>
          <w:shd w:val="clear" w:color="auto" w:fill="auto"/>
          <w:lang w:val="ru-RU" w:eastAsia="ru-RU" w:bidi="ru-RU"/>
        </w:rPr>
        <w:t>Перчатки</w:t>
        <w:tab/>
        <w:t>смотровые/процедурные</w:t>
        <w:tab/>
        <w:t>из</w:t>
        <w:tab/>
        <w:t>латекса</w:t>
        <w:tab/>
        <w:t>гевеи,</w:t>
        <w:tab/>
        <w:t>неопудренные,</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нестерильные с кодом КТРУ 22.19.60.119-00000002;</w:t>
      </w:r>
    </w:p>
    <w:p>
      <w:pPr>
        <w:pStyle w:val="Style11"/>
        <w:keepNext w:val="0"/>
        <w:keepLines w:val="0"/>
        <w:widowControl w:val="0"/>
        <w:numPr>
          <w:ilvl w:val="0"/>
          <w:numId w:val="3"/>
        </w:numPr>
        <w:shd w:val="clear" w:color="auto" w:fill="auto"/>
        <w:tabs>
          <w:tab w:pos="962" w:val="left"/>
        </w:tabs>
        <w:bidi w:val="0"/>
        <w:spacing w:before="0" w:after="0"/>
        <w:ind w:left="0" w:right="0" w:firstLine="760"/>
        <w:jc w:val="both"/>
      </w:pPr>
      <w:r>
        <w:rPr>
          <w:color w:val="000000"/>
          <w:spacing w:val="0"/>
          <w:w w:val="100"/>
          <w:position w:val="0"/>
          <w:shd w:val="clear" w:color="auto" w:fill="auto"/>
          <w:lang w:val="ru-RU" w:eastAsia="ru-RU" w:bidi="ru-RU"/>
        </w:rPr>
        <w:t>Перчатки смотровые/процедурные нитриловые, неопудренные, нестерильные с кодом КТРУ 22.19.60.119-00000008;</w:t>
      </w:r>
    </w:p>
    <w:p>
      <w:pPr>
        <w:pStyle w:val="Style11"/>
        <w:keepNext w:val="0"/>
        <w:keepLines w:val="0"/>
        <w:widowControl w:val="0"/>
        <w:numPr>
          <w:ilvl w:val="0"/>
          <w:numId w:val="3"/>
        </w:numPr>
        <w:shd w:val="clear" w:color="auto" w:fill="auto"/>
        <w:tabs>
          <w:tab w:pos="962" w:val="left"/>
        </w:tabs>
        <w:bidi w:val="0"/>
        <w:spacing w:before="0" w:after="0"/>
        <w:ind w:left="0" w:right="0" w:firstLine="760"/>
        <w:jc w:val="both"/>
      </w:pPr>
      <w:r>
        <w:rPr>
          <w:color w:val="000000"/>
          <w:spacing w:val="0"/>
          <w:w w:val="100"/>
          <w:position w:val="0"/>
          <w:shd w:val="clear" w:color="auto" w:fill="auto"/>
          <w:lang w:val="ru-RU" w:eastAsia="ru-RU" w:bidi="ru-RU"/>
        </w:rPr>
        <w:t>Перчатки смотровые/процедурные нитриловые, неопудренные, стерильные с кодом КТРУ 22.19.60.119-00000014.</w:t>
      </w:r>
    </w:p>
    <w:p>
      <w:pPr>
        <w:pStyle w:val="Style11"/>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При этом, указанные позиция КТРУ не содержат описания указанных товаров, следовательно, Заказчик при его описании в составе извещения должен руководствоваться положениями статьи 33 Закона о контрактной системе.</w:t>
      </w:r>
    </w:p>
    <w:p>
      <w:pPr>
        <w:pStyle w:val="Style17"/>
        <w:keepNext w:val="0"/>
        <w:keepLines w:val="0"/>
        <w:widowControl w:val="0"/>
        <w:shd w:val="clear" w:color="auto" w:fill="auto"/>
        <w:bidi w:val="0"/>
        <w:spacing w:before="0" w:after="0"/>
        <w:ind w:left="0" w:right="0"/>
        <w:jc w:val="both"/>
        <w:rPr>
          <w:sz w:val="26"/>
          <w:szCs w:val="26"/>
        </w:rPr>
      </w:pPr>
      <w:r>
        <w:rPr>
          <w:rFonts w:ascii="Times New Roman" w:eastAsia="Times New Roman" w:hAnsi="Times New Roman" w:cs="Times New Roman"/>
          <w:color w:val="000000"/>
          <w:spacing w:val="0"/>
          <w:w w:val="100"/>
          <w:position w:val="0"/>
          <w:sz w:val="26"/>
          <w:szCs w:val="26"/>
          <w:shd w:val="clear" w:color="auto" w:fill="auto"/>
          <w:lang w:val="ru-RU" w:eastAsia="ru-RU" w:bidi="ru-RU"/>
        </w:rPr>
        <w:t>В свою очередь, в структурированной форме извещения Заказчиком установлены следующие требования по данным товарам: «Форма перчатки с повторяющимися кольцевыми анатомическими расширениями в области суставов пальцев». Приведено обоснования применения данных требований «</w:t>
      </w:r>
      <w:r>
        <w:rPr>
          <w:rFonts w:ascii="Courier New" w:eastAsia="Courier New" w:hAnsi="Courier New" w:cs="Courier New"/>
          <w:color w:val="000000"/>
          <w:spacing w:val="0"/>
          <w:w w:val="100"/>
          <w:position w:val="0"/>
          <w:sz w:val="24"/>
          <w:szCs w:val="24"/>
          <w:shd w:val="clear" w:color="auto" w:fill="auto"/>
          <w:lang w:val="ru-RU" w:eastAsia="ru-RU" w:bidi="ru-RU"/>
        </w:rPr>
        <w:t>Внешняя отделка - для улучшенного захвата инструментов и оборудования Форма перчатки - для снижения нагрузки на пальцы при продолжительных манипуляциях Цвет - для профилактики контактного дерматита и объективной оценки следов биологических жидкостей Длина - для фиксации на предплечье Одинарная толщина (в области пальцев) - для механической прочности Усилие при разрыве (до ускоренного старения) - в соответствии с ГОСТ Р 52239-2004 Удлинение при разрыве (до ускоренного старения) - в соответствии с ГОСТ Р 52239-2004</w:t>
      </w:r>
      <w:r>
        <w:rPr>
          <w:rFonts w:ascii="Times New Roman" w:eastAsia="Times New Roman" w:hAnsi="Times New Roman" w:cs="Times New Roman"/>
          <w:color w:val="000000"/>
          <w:spacing w:val="0"/>
          <w:w w:val="100"/>
          <w:position w:val="0"/>
          <w:sz w:val="26"/>
          <w:szCs w:val="26"/>
          <w:shd w:val="clear" w:color="auto" w:fill="auto"/>
          <w:lang w:val="ru-RU" w:eastAsia="ru-RU" w:bidi="ru-RU"/>
        </w:rPr>
        <w:t>».</w:t>
      </w:r>
    </w:p>
    <w:p>
      <w:pPr>
        <w:pStyle w:val="Style11"/>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Между тем, ГОСТ Р 52239-2004 (Национальный стандарт Российской Федерации. Перчатки медицинские диагностические одноразовые. Часть 1. Спецификация на перчатки из каучукового латекса или раствора) подобные требования не предусмотрены.</w:t>
      </w:r>
    </w:p>
    <w:p>
      <w:pPr>
        <w:pStyle w:val="Style11"/>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В пункте 3.1.2. Методических рекомендаций МР 3.5.1.0113-16 установлено, что диагностические/смотровые перчатки используются при неинвазивных и инвазивных диагностических и терапевтических процедурах и манипуляциях, а также при обработке загрязненных медицинских изделий. Они могут быть стерильными или нестерильными, не имеют анатомической формы и длинной манжеты.</w:t>
      </w:r>
    </w:p>
    <w:p>
      <w:pPr>
        <w:pStyle w:val="Style11"/>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В пункте 3.6 указано, что форма (конструкция) медицинских перчаток может быть:</w:t>
      </w:r>
    </w:p>
    <w:p>
      <w:pPr>
        <w:pStyle w:val="Style11"/>
        <w:keepNext w:val="0"/>
        <w:keepLines w:val="0"/>
        <w:widowControl w:val="0"/>
        <w:numPr>
          <w:ilvl w:val="0"/>
          <w:numId w:val="3"/>
        </w:numPr>
        <w:shd w:val="clear" w:color="auto" w:fill="auto"/>
        <w:tabs>
          <w:tab w:pos="972" w:val="left"/>
        </w:tabs>
        <w:bidi w:val="0"/>
        <w:spacing w:before="0" w:after="0"/>
        <w:ind w:left="0" w:right="0" w:firstLine="760"/>
        <w:jc w:val="both"/>
      </w:pPr>
      <w:r>
        <w:rPr>
          <w:color w:val="000000"/>
          <w:spacing w:val="0"/>
          <w:w w:val="100"/>
          <w:position w:val="0"/>
          <w:shd w:val="clear" w:color="auto" w:fill="auto"/>
          <w:lang w:val="ru-RU" w:eastAsia="ru-RU" w:bidi="ru-RU"/>
        </w:rPr>
        <w:t>анатомической (большой палец противостоит плоскости ладони, перчатки разделяются на правую и левую);</w:t>
      </w:r>
    </w:p>
    <w:p>
      <w:pPr>
        <w:pStyle w:val="Style11"/>
        <w:keepNext w:val="0"/>
        <w:keepLines w:val="0"/>
        <w:widowControl w:val="0"/>
        <w:numPr>
          <w:ilvl w:val="0"/>
          <w:numId w:val="3"/>
        </w:numPr>
        <w:shd w:val="clear" w:color="auto" w:fill="auto"/>
        <w:tabs>
          <w:tab w:pos="1154" w:val="left"/>
        </w:tabs>
        <w:bidi w:val="0"/>
        <w:spacing w:before="0" w:after="0"/>
        <w:ind w:left="0" w:right="0" w:firstLine="760"/>
        <w:jc w:val="both"/>
        <w:sectPr>
          <w:footnotePr>
            <w:pos w:val="pageBottom"/>
            <w:numFmt w:val="decimal"/>
            <w:numRestart w:val="continuous"/>
          </w:footnotePr>
          <w:type w:val="continuous"/>
          <w:pgSz w:w="11900" w:h="16840"/>
          <w:pgMar w:top="1673" w:right="526" w:bottom="1285" w:left="1083" w:header="0" w:footer="3" w:gutter="0"/>
          <w:cols w:space="720"/>
          <w:noEndnote/>
          <w:rtlGutter w:val="0"/>
          <w:docGrid w:linePitch="360"/>
        </w:sectPr>
      </w:pPr>
      <w:r>
        <w:rPr>
          <w:color w:val="000000"/>
          <w:spacing w:val="0"/>
          <w:w w:val="100"/>
          <w:position w:val="0"/>
          <w:shd w:val="clear" w:color="auto" w:fill="auto"/>
          <w:lang w:val="ru-RU" w:eastAsia="ru-RU" w:bidi="ru-RU"/>
        </w:rPr>
        <w:t>неанатомической или плоской (большой палец расположен в плоскости</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ладони, перчатки не имеют разделения на правую и левую руки).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Каких-либо указаний на форму перчатки с повторяющимися кольцевыми анатомическими расширениями в области суставов пальцев не содержится в вышеуказанных актах.</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 учетом вышеизложенного, Комиссия Томского УФАС России приходит к выводу, что в действиях Заказчика выявлены нарушения части 2 статьи 8 и пункта 2 части 1 статьи 33 Закона о контрактной системе, путем установления требований к закупаемому изделию, которые не предусмотрены документами национальной системы стандартизации и иным действующим законодательством.</w:t>
      </w:r>
    </w:p>
    <w:p>
      <w:pPr>
        <w:pStyle w:val="Style11"/>
        <w:keepNext w:val="0"/>
        <w:keepLines w:val="0"/>
        <w:widowControl w:val="0"/>
        <w:shd w:val="clear" w:color="auto" w:fill="auto"/>
        <w:bidi w:val="0"/>
        <w:spacing w:before="0" w:after="300"/>
        <w:ind w:left="0" w:right="0" w:firstLine="740"/>
        <w:jc w:val="both"/>
      </w:pPr>
      <w:r>
        <w:rPr>
          <w:color w:val="000000"/>
          <w:spacing w:val="0"/>
          <w:w w:val="100"/>
          <w:position w:val="0"/>
          <w:shd w:val="clear" w:color="auto" w:fill="auto"/>
          <w:lang w:val="ru-RU" w:eastAsia="ru-RU" w:bidi="ru-RU"/>
        </w:rPr>
        <w:t>Учитывая вышеизложенное, данный довод признается обоснованным.</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Относительно второго довода Заявителя Комиссия Томского УФАС России установила следующее.</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описанию объекта закупки к поставке требуются перчатки, поверхность которых в области дистальных фаланг указательного и среднего пальца гладкая, остальная поверхность текстурированная, текстурный рисунок в области пальцев и ладони.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Соответствующая потребность лечебного учреждения обоснована в описании объекта закупки.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Пунктом 3.3. ГОСТ Р 52239-2004 прямо предусмотрено, что различают четыре вида отделки:</w:t>
      </w:r>
    </w:p>
    <w:p>
      <w:pPr>
        <w:pStyle w:val="Style11"/>
        <w:keepNext w:val="0"/>
        <w:keepLines w:val="0"/>
        <w:widowControl w:val="0"/>
        <w:numPr>
          <w:ilvl w:val="0"/>
          <w:numId w:val="5"/>
        </w:numPr>
        <w:shd w:val="clear" w:color="auto" w:fill="auto"/>
        <w:tabs>
          <w:tab w:pos="1112" w:val="left"/>
        </w:tabs>
        <w:bidi w:val="0"/>
        <w:spacing w:before="0" w:after="0"/>
        <w:ind w:left="0" w:right="0" w:firstLine="740"/>
        <w:jc w:val="both"/>
      </w:pPr>
      <w:r>
        <w:rPr>
          <w:color w:val="000000"/>
          <w:spacing w:val="0"/>
          <w:w w:val="100"/>
          <w:position w:val="0"/>
          <w:shd w:val="clear" w:color="auto" w:fill="auto"/>
          <w:lang w:val="ru-RU" w:eastAsia="ru-RU" w:bidi="ru-RU"/>
        </w:rPr>
        <w:t>текстурный рисунок, нанесенный на какой-либо части или по всей поверхности перчатки;</w:t>
      </w:r>
    </w:p>
    <w:p>
      <w:pPr>
        <w:pStyle w:val="Style11"/>
        <w:keepNext w:val="0"/>
        <w:keepLines w:val="0"/>
        <w:widowControl w:val="0"/>
        <w:numPr>
          <w:ilvl w:val="0"/>
          <w:numId w:val="5"/>
        </w:numPr>
        <w:shd w:val="clear" w:color="auto" w:fill="auto"/>
        <w:tabs>
          <w:tab w:pos="1868" w:val="left"/>
        </w:tabs>
        <w:bidi w:val="0"/>
        <w:spacing w:before="0" w:after="0"/>
        <w:ind w:left="0" w:right="0" w:firstLine="740"/>
        <w:jc w:val="both"/>
      </w:pPr>
      <w:r>
        <w:rPr>
          <w:color w:val="000000"/>
          <w:spacing w:val="0"/>
          <w:w w:val="100"/>
          <w:position w:val="0"/>
          <w:shd w:val="clear" w:color="auto" w:fill="auto"/>
          <w:lang w:val="ru-RU" w:eastAsia="ru-RU" w:bidi="ru-RU"/>
        </w:rPr>
        <w:t>гладкая поверхность;</w:t>
      </w:r>
    </w:p>
    <w:p>
      <w:pPr>
        <w:pStyle w:val="Style11"/>
        <w:keepNext w:val="0"/>
        <w:keepLines w:val="0"/>
        <w:widowControl w:val="0"/>
        <w:numPr>
          <w:ilvl w:val="0"/>
          <w:numId w:val="5"/>
        </w:numPr>
        <w:shd w:val="clear" w:color="auto" w:fill="auto"/>
        <w:tabs>
          <w:tab w:pos="1868" w:val="left"/>
        </w:tabs>
        <w:bidi w:val="0"/>
        <w:spacing w:before="0" w:after="0"/>
        <w:ind w:left="0" w:right="0" w:firstLine="740"/>
        <w:jc w:val="both"/>
      </w:pPr>
      <w:r>
        <w:rPr>
          <w:color w:val="000000"/>
          <w:spacing w:val="0"/>
          <w:w w:val="100"/>
          <w:position w:val="0"/>
          <w:shd w:val="clear" w:color="auto" w:fill="auto"/>
          <w:lang w:val="ru-RU" w:eastAsia="ru-RU" w:bidi="ru-RU"/>
        </w:rPr>
        <w:t>опудренная поверхность;</w:t>
      </w:r>
    </w:p>
    <w:p>
      <w:pPr>
        <w:pStyle w:val="Style11"/>
        <w:keepNext w:val="0"/>
        <w:keepLines w:val="0"/>
        <w:widowControl w:val="0"/>
        <w:numPr>
          <w:ilvl w:val="0"/>
          <w:numId w:val="5"/>
        </w:numPr>
        <w:shd w:val="clear" w:color="auto" w:fill="auto"/>
        <w:tabs>
          <w:tab w:pos="1868" w:val="left"/>
        </w:tabs>
        <w:bidi w:val="0"/>
        <w:spacing w:before="0" w:after="0"/>
        <w:ind w:left="0" w:right="0" w:firstLine="740"/>
        <w:jc w:val="both"/>
      </w:pPr>
      <w:r>
        <w:rPr>
          <w:color w:val="000000"/>
          <w:spacing w:val="0"/>
          <w:w w:val="100"/>
          <w:position w:val="0"/>
          <w:shd w:val="clear" w:color="auto" w:fill="auto"/>
          <w:lang w:val="ru-RU" w:eastAsia="ru-RU" w:bidi="ru-RU"/>
        </w:rPr>
        <w:t>поверхность без опудривания.</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пункте 3.5 Методических рекомендациях МР 3.5.1.0113-16 указано, что медицинские перчатки могут различаться по фактуре внешней поверхности. В зависимости от способа обработки перчатки могут иметь:</w:t>
      </w:r>
    </w:p>
    <w:p>
      <w:pPr>
        <w:pStyle w:val="Style11"/>
        <w:keepNext w:val="0"/>
        <w:keepLines w:val="0"/>
        <w:widowControl w:val="0"/>
        <w:numPr>
          <w:ilvl w:val="0"/>
          <w:numId w:val="7"/>
        </w:numPr>
        <w:shd w:val="clear" w:color="auto" w:fill="auto"/>
        <w:tabs>
          <w:tab w:pos="1012" w:val="left"/>
        </w:tabs>
        <w:bidi w:val="0"/>
        <w:spacing w:before="0" w:after="60"/>
        <w:ind w:left="0" w:right="0" w:firstLine="740"/>
        <w:jc w:val="both"/>
      </w:pPr>
      <w:r>
        <w:rPr>
          <w:color w:val="000000"/>
          <w:spacing w:val="0"/>
          <w:w w:val="100"/>
          <w:position w:val="0"/>
          <w:shd w:val="clear" w:color="auto" w:fill="auto"/>
          <w:lang w:val="ru-RU" w:eastAsia="ru-RU" w:bidi="ru-RU"/>
        </w:rPr>
        <w:t>гладкую поверхность;</w:t>
      </w:r>
    </w:p>
    <w:p>
      <w:pPr>
        <w:pStyle w:val="Style11"/>
        <w:keepNext w:val="0"/>
        <w:keepLines w:val="0"/>
        <w:widowControl w:val="0"/>
        <w:numPr>
          <w:ilvl w:val="0"/>
          <w:numId w:val="7"/>
        </w:numPr>
        <w:shd w:val="clear" w:color="auto" w:fill="auto"/>
        <w:tabs>
          <w:tab w:pos="1005" w:val="left"/>
        </w:tabs>
        <w:bidi w:val="0"/>
        <w:spacing w:before="0" w:after="0"/>
        <w:ind w:left="0" w:right="0" w:firstLine="740"/>
        <w:jc w:val="both"/>
      </w:pPr>
      <w:r>
        <w:rPr>
          <w:color w:val="000000"/>
          <w:spacing w:val="0"/>
          <w:w w:val="100"/>
          <w:position w:val="0"/>
          <w:shd w:val="clear" w:color="auto" w:fill="auto"/>
          <w:lang w:val="ru-RU" w:eastAsia="ru-RU" w:bidi="ru-RU"/>
        </w:rPr>
        <w:t>текстурный рисунок, нанесенный на какой-либо участок или на всю поверхность перчатки;</w:t>
      </w:r>
    </w:p>
    <w:p>
      <w:pPr>
        <w:pStyle w:val="Style11"/>
        <w:keepNext w:val="0"/>
        <w:keepLines w:val="0"/>
        <w:widowControl w:val="0"/>
        <w:numPr>
          <w:ilvl w:val="0"/>
          <w:numId w:val="7"/>
        </w:numPr>
        <w:shd w:val="clear" w:color="auto" w:fill="auto"/>
        <w:tabs>
          <w:tab w:pos="1012" w:val="left"/>
        </w:tabs>
        <w:bidi w:val="0"/>
        <w:spacing w:before="0" w:after="60"/>
        <w:ind w:left="0" w:right="0" w:firstLine="740"/>
        <w:jc w:val="both"/>
      </w:pPr>
      <w:r>
        <w:rPr>
          <w:color w:val="000000"/>
          <w:spacing w:val="0"/>
          <w:w w:val="100"/>
          <w:position w:val="0"/>
          <w:shd w:val="clear" w:color="auto" w:fill="auto"/>
          <w:lang w:val="ru-RU" w:eastAsia="ru-RU" w:bidi="ru-RU"/>
        </w:rPr>
        <w:t>микротекстурированную поверхность.</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Представитель Заказчика в письменных пояснениях указал, что обжалуемые требования были установлены в связи с объективной потребностью в приобретении данных перчаток. Заказчиком учтена специфика медицинских изделий, указанные варианты внешней отделки прямо предусмотрены национальной стандартизации, Гостом и Методическими рекомендациями. Кроме этого, указанные перчатки закупаются для работы в отделениях анестезиологии и реанимации, а также интенсивной терапии.</w:t>
      </w:r>
    </w:p>
    <w:p>
      <w:pPr>
        <w:pStyle w:val="Style11"/>
        <w:keepNext w:val="0"/>
        <w:keepLines w:val="0"/>
        <w:widowControl w:val="0"/>
        <w:shd w:val="clear" w:color="auto" w:fill="auto"/>
        <w:bidi w:val="0"/>
        <w:spacing w:before="0" w:after="180" w:line="300" w:lineRule="auto"/>
        <w:ind w:left="0" w:right="0" w:firstLine="740"/>
        <w:jc w:val="both"/>
        <w:rPr>
          <w:sz w:val="24"/>
          <w:szCs w:val="24"/>
        </w:rPr>
      </w:pPr>
      <w:r>
        <w:rPr>
          <w:color w:val="000000"/>
          <w:spacing w:val="0"/>
          <w:w w:val="100"/>
          <w:position w:val="0"/>
          <w:sz w:val="26"/>
          <w:szCs w:val="26"/>
          <w:shd w:val="clear" w:color="auto" w:fill="auto"/>
          <w:lang w:val="ru-RU" w:eastAsia="ru-RU" w:bidi="ru-RU"/>
        </w:rPr>
        <w:t xml:space="preserve">Комиссия Томского УФАС России установила, что ГОСТом 52239-2004 и Методическими рекомендациями МР 3.5.1.0113-16 прямо предусмотрена отделка поверхности перчаток текстурированным рисунком какой-либо части перчаток, без </w:t>
      </w:r>
      <w:r>
        <w:rPr>
          <w:color w:val="000000"/>
          <w:spacing w:val="0"/>
          <w:w w:val="100"/>
          <w:position w:val="0"/>
          <w:sz w:val="24"/>
          <w:szCs w:val="24"/>
          <w:shd w:val="clear" w:color="auto" w:fill="auto"/>
          <w:lang w:val="ru-RU" w:eastAsia="ru-RU" w:bidi="ru-RU"/>
        </w:rPr>
        <w:t>2024-7184</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уточнения конкретной зоны, а также гладкая поверхность. Кроме этого, судебная практика также подтверждает, что ГОСТ предусматривает вид отделки внешней поверхности перчаток текстурой на какой-либо части или всей поверхности, данный вывод был поддержан - Решением Арбитражного суда Чувашской Республики- Чувашии по делу № А79-4830/2020, Постановлением арбитражного апелляционного суда по делу А79-4830/2020, Постановлением арбитражного суда кассационной инстанции дело № А79-4830/2020:</w:t>
      </w:r>
    </w:p>
    <w:p>
      <w:pPr>
        <w:pStyle w:val="Style11"/>
        <w:keepNext w:val="0"/>
        <w:keepLines w:val="0"/>
        <w:widowControl w:val="0"/>
        <w:shd w:val="clear" w:color="auto" w:fill="auto"/>
        <w:bidi w:val="0"/>
        <w:spacing w:before="0" w:after="300"/>
        <w:ind w:left="0" w:right="0" w:firstLine="740"/>
        <w:jc w:val="both"/>
      </w:pPr>
      <w:r>
        <w:rPr>
          <w:color w:val="000000"/>
          <w:spacing w:val="0"/>
          <w:w w:val="100"/>
          <w:position w:val="0"/>
          <w:shd w:val="clear" w:color="auto" w:fill="auto"/>
          <w:lang w:val="ru-RU" w:eastAsia="ru-RU" w:bidi="ru-RU"/>
        </w:rPr>
        <w:t>В связи с вышеизложенным, Комиссия Томского УФАС России приходит к выводу, что данный довод жалобы Заявителя не обоснован. В действиях Заказчика нарушений Закона о контрактной системе не установлено.</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Относительно третьего довода Заявителя Комиссия Томского УФАС России установила следующее.</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ГОСТ Р 52239-2004 устанавливает эксплуатационные характеристики упакованных стерильных и неупакованных нестерильных перчаток из каучукового латекса или раствора, предназначенных для одноразового использования при проведении медицинских исследований, диагностических и терапевтических процедур с целью защиты пациента и исследователя от взаимного заражения, а также перчаток из каучукового латекса, предназначенных для использования при работе с зараженными медицинскими материалами.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Указанный государственный стандарт не содержит запрета на установление указанного требования.</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Положения МР 3.5.1.0113-16. 3.5.1 прямо указывают на то, что медицинские перчатки должны отвечать требованиям, обеспечивающим их защитные (барьерные) и потребительские свойства. Такими требованиями, обеспечивающими их потребительские свойства, среди прочих, являются удобство и комфортность их применения.</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Из письменных пояснений Заказчика следует, что натуральный цвет белый и бежевого перчаток является самым распространенным при применении в медицинских учреждениях. При этом, Заказчик не ограничивает участников закупки одним цветом. В части предоставления цвета перчаток участники закупки имеют альтернативу и предлагают данные параметры на свое усмотрение. Большое количество производителей предлагают медицинские перчатки указанных в описании объекта закупки цветов. Кроме этого, учитывая, обязательность применения медицинских персоналом перчаток в течение всего рабочего времени указание требования «Цвет» является значимым и существенным.</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пункту 2.5 МР 3.5.1.0113-16 современные медицинские перчатки различаются по характеристике материала, из которого они изготовлены, его химическому составу, технологии производства и обработки, а также возможностям целевого применения.</w:t>
      </w:r>
    </w:p>
    <w:p>
      <w:pPr>
        <w:pStyle w:val="Style11"/>
        <w:keepNext w:val="0"/>
        <w:keepLines w:val="0"/>
        <w:widowControl w:val="0"/>
        <w:shd w:val="clear" w:color="auto" w:fill="auto"/>
        <w:bidi w:val="0"/>
        <w:spacing w:before="0" w:after="0" w:line="300" w:lineRule="auto"/>
        <w:ind w:left="0" w:right="0" w:firstLine="740"/>
        <w:jc w:val="both"/>
        <w:rPr>
          <w:sz w:val="24"/>
          <w:szCs w:val="24"/>
        </w:rPr>
      </w:pPr>
      <w:r>
        <w:rPr>
          <w:color w:val="000000"/>
          <w:spacing w:val="0"/>
          <w:w w:val="100"/>
          <w:position w:val="0"/>
          <w:sz w:val="26"/>
          <w:szCs w:val="26"/>
          <w:shd w:val="clear" w:color="auto" w:fill="auto"/>
          <w:lang w:val="ru-RU" w:eastAsia="ru-RU" w:bidi="ru-RU"/>
        </w:rPr>
        <w:t xml:space="preserve">Комиссия Томского УФАС России приходит к выводу, что действующим законодательством, а также действующими стандартами ГОСТ не предусмотрено ограничений по цвету медицинских перчаток, ГОСТ содержит минимальные </w:t>
      </w:r>
      <w:r>
        <w:rPr>
          <w:color w:val="000000"/>
          <w:spacing w:val="0"/>
          <w:w w:val="100"/>
          <w:position w:val="0"/>
          <w:sz w:val="24"/>
          <w:szCs w:val="24"/>
          <w:shd w:val="clear" w:color="auto" w:fill="auto"/>
          <w:lang w:val="ru-RU" w:eastAsia="ru-RU" w:bidi="ru-RU"/>
        </w:rPr>
        <w:t>2024-7184</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требования к продукции, положения ГОСТа не ограничивают Заказчика во включении в описание объекта закупки требований к товару, являющихся значимыми для него. Заказчик обосновал каждую из требуемых ему характеристик. При описании характеристик закупаемой продукции Заказчик руководствовался только необходимостью обеспечения своих потребностей, указав все необходимые показатели, используемые для определения соответствия предлагаемых товаров нуждам Заказчика.</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Медицинские перчатки с указанными характеристиками позволяют Заказчику исполнять свои функции надлежащим образом.</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Кроме этого, Комиссия Томского УФАС России отмечает, что 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Заявитель как податель жалобы и лицо, участвующее в деле, обязан вместе с жалобой представить соответствующие его позиции доказательства, подтверждающие или опровергающие оспариваемые обстоятельства.</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При этом подателем жалобы такие документы приложены не были, обоснований и объективных доказательств наличия в действиях Заказчика, помимо субъективной оценки таких действий, не представлено.</w:t>
      </w:r>
    </w:p>
    <w:p>
      <w:pPr>
        <w:pStyle w:val="Style11"/>
        <w:keepNext w:val="0"/>
        <w:keepLines w:val="0"/>
        <w:widowControl w:val="0"/>
        <w:shd w:val="clear" w:color="auto" w:fill="auto"/>
        <w:bidi w:val="0"/>
        <w:spacing w:before="0" w:after="300"/>
        <w:ind w:left="0" w:right="0" w:firstLine="740"/>
        <w:jc w:val="both"/>
      </w:pPr>
      <w:r>
        <w:rPr>
          <w:color w:val="000000"/>
          <w:spacing w:val="0"/>
          <w:w w:val="100"/>
          <w:position w:val="0"/>
          <w:shd w:val="clear" w:color="auto" w:fill="auto"/>
          <w:lang w:val="ru-RU" w:eastAsia="ru-RU" w:bidi="ru-RU"/>
        </w:rPr>
        <w:t>В связи с чем, данный довод жалобы Заявителя признан Комиссией Томского УФАС России необоснованным.</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Относительно четвертого довода Заявителя Комиссия Томского УФАС России установила следующее.</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части 1 статьи 49 Закона о контрактной системе указано, что электронный аукцион начинается с размещения в единой информационной системе извещения об осуществлении закупки.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части 1 статьи 42 Закона о контрактной системе, перечислен перечень сведений, которые должны быть указаны в извещении при осуществлении закупки путем проведения открытых конкурентных способов.</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электронный документ, содержащий описание объекта закупки в соответствии со статьей 33 Федерального закона.</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Правила описания объекта закупки определены в статье 33 Закона о контрактной системе, а также подзаконными актами, разработанными в целях реализации данной нормы.</w:t>
      </w:r>
    </w:p>
    <w:p>
      <w:pPr>
        <w:pStyle w:val="Style11"/>
        <w:keepNext w:val="0"/>
        <w:keepLines w:val="0"/>
        <w:widowControl w:val="0"/>
        <w:shd w:val="clear" w:color="auto" w:fill="auto"/>
        <w:bidi w:val="0"/>
        <w:spacing w:before="0" w:after="0" w:line="283" w:lineRule="auto"/>
        <w:ind w:left="0" w:right="0" w:firstLine="740"/>
        <w:jc w:val="both"/>
        <w:rPr>
          <w:sz w:val="24"/>
          <w:szCs w:val="24"/>
        </w:rPr>
        <w:sectPr>
          <w:headerReference w:type="default" r:id="rId11"/>
          <w:footerReference w:type="default" r:id="rId12"/>
          <w:footnotePr>
            <w:pos w:val="pageBottom"/>
            <w:numFmt w:val="decimal"/>
            <w:numRestart w:val="continuous"/>
          </w:footnotePr>
          <w:pgSz w:w="11900" w:h="16840"/>
          <w:pgMar w:top="1705" w:right="531" w:bottom="769" w:left="1097" w:header="0" w:footer="341"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В соответствии с пунктом 1 части 1 статьи 33 Закона о контрактной системы заказчик при формировании описания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w:t>
      </w:r>
      <w:r>
        <w:rPr>
          <w:color w:val="000000"/>
          <w:spacing w:val="0"/>
          <w:w w:val="100"/>
          <w:position w:val="0"/>
          <w:sz w:val="24"/>
          <w:szCs w:val="24"/>
          <w:shd w:val="clear" w:color="auto" w:fill="auto"/>
          <w:lang w:val="ru-RU" w:eastAsia="ru-RU" w:bidi="ru-RU"/>
        </w:rPr>
        <w:t>2024-7184</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пунктом 14 части 3 статьи 4 Закона о контрактной системе в ЕИС содержится каталог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подпунктом «а» пункта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 145 от 08.02.2017 г. (далее - Правила) 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контрактной системе, которые не предусмотрены в позиции каталога, за исключением случаев, указанных в данном пункте.</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пукнту 6 Правил в случае предоставления дополнительной информации, предусмотренной пунктом 5 данных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пунктом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контрактной системе.</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Из довода жалобы Заявителя следует, что Заказчиком описание объекта закупки составлено под одного производителя товара, что ограничивает права и интересы участников закупки.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Томского УФАС России установила, что из содержания извещения о проведении закупки следует, что объектом закупки являются:</w:t>
      </w:r>
    </w:p>
    <w:p>
      <w:pPr>
        <w:pStyle w:val="Style11"/>
        <w:keepNext w:val="0"/>
        <w:keepLines w:val="0"/>
        <w:widowControl w:val="0"/>
        <w:numPr>
          <w:ilvl w:val="0"/>
          <w:numId w:val="9"/>
        </w:numPr>
        <w:shd w:val="clear" w:color="auto" w:fill="auto"/>
        <w:tabs>
          <w:tab w:pos="1148" w:val="left"/>
          <w:tab w:pos="1191" w:val="left"/>
          <w:tab w:pos="2430" w:val="left"/>
          <w:tab w:pos="5670" w:val="left"/>
          <w:tab w:pos="6222" w:val="left"/>
          <w:tab w:pos="7398" w:val="left"/>
          <w:tab w:pos="8362" w:val="left"/>
        </w:tabs>
        <w:bidi w:val="0"/>
        <w:spacing w:before="0" w:after="0"/>
        <w:ind w:left="0" w:right="0" w:firstLine="740"/>
        <w:jc w:val="both"/>
      </w:pPr>
      <w:r>
        <w:rPr>
          <w:color w:val="000000"/>
          <w:spacing w:val="0"/>
          <w:w w:val="100"/>
          <w:position w:val="0"/>
          <w:shd w:val="clear" w:color="auto" w:fill="auto"/>
          <w:lang w:val="ru-RU" w:eastAsia="ru-RU" w:bidi="ru-RU"/>
        </w:rPr>
        <w:t>Перчатки</w:t>
        <w:tab/>
        <w:t>смотровые/процедурные</w:t>
        <w:tab/>
        <w:t>из</w:t>
        <w:tab/>
        <w:t>латекса</w:t>
        <w:tab/>
        <w:t>гевеи,</w:t>
        <w:tab/>
        <w:t>неопудренные,</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нестерильные с кодом КТРУ 22.19.60.119-00000002;</w:t>
      </w:r>
    </w:p>
    <w:p>
      <w:pPr>
        <w:pStyle w:val="Style11"/>
        <w:keepNext w:val="0"/>
        <w:keepLines w:val="0"/>
        <w:widowControl w:val="0"/>
        <w:numPr>
          <w:ilvl w:val="0"/>
          <w:numId w:val="9"/>
        </w:numPr>
        <w:shd w:val="clear" w:color="auto" w:fill="auto"/>
        <w:tabs>
          <w:tab w:pos="408" w:val="left"/>
          <w:tab w:pos="451" w:val="left"/>
          <w:tab w:pos="1690" w:val="left"/>
          <w:tab w:pos="4930" w:val="left"/>
          <w:tab w:pos="5482" w:val="left"/>
          <w:tab w:pos="6658" w:val="left"/>
          <w:tab w:pos="7622" w:val="left"/>
        </w:tabs>
        <w:bidi w:val="0"/>
        <w:spacing w:before="0" w:after="0"/>
        <w:ind w:left="0" w:right="0" w:firstLine="740"/>
        <w:jc w:val="both"/>
      </w:pPr>
      <w:r>
        <w:rPr>
          <w:color w:val="000000"/>
          <w:spacing w:val="0"/>
          <w:w w:val="100"/>
          <w:position w:val="0"/>
          <w:shd w:val="clear" w:color="auto" w:fill="auto"/>
          <w:lang w:val="ru-RU" w:eastAsia="ru-RU" w:bidi="ru-RU"/>
        </w:rPr>
        <w:t>Перчатки</w:t>
        <w:tab/>
        <w:t>смотровые/процедурные</w:t>
        <w:tab/>
        <w:t>из</w:t>
        <w:tab/>
        <w:t>латекса</w:t>
        <w:tab/>
        <w:t>гевеи,</w:t>
        <w:tab/>
        <w:t xml:space="preserve">неопудренные, </w:t>
      </w:r>
      <w:r>
        <w:rPr>
          <w:color w:val="000000"/>
          <w:spacing w:val="0"/>
          <w:w w:val="100"/>
          <w:position w:val="0"/>
          <w:shd w:val="clear" w:color="auto" w:fill="auto"/>
          <w:lang w:val="ru-RU" w:eastAsia="ru-RU" w:bidi="ru-RU"/>
        </w:rPr>
        <w:t>нестерильные с кодом КТРУ 22.19.60.119-00000002;</w:t>
      </w:r>
    </w:p>
    <w:p>
      <w:pPr>
        <w:pStyle w:val="Style11"/>
        <w:keepNext w:val="0"/>
        <w:keepLines w:val="0"/>
        <w:widowControl w:val="0"/>
        <w:numPr>
          <w:ilvl w:val="0"/>
          <w:numId w:val="9"/>
        </w:numPr>
        <w:shd w:val="clear" w:color="auto" w:fill="auto"/>
        <w:tabs>
          <w:tab w:pos="927" w:val="left"/>
        </w:tabs>
        <w:bidi w:val="0"/>
        <w:spacing w:before="0" w:after="0"/>
        <w:ind w:left="0" w:right="0" w:firstLine="740"/>
        <w:jc w:val="both"/>
      </w:pPr>
      <w:r>
        <w:rPr>
          <w:color w:val="000000"/>
          <w:spacing w:val="0"/>
          <w:w w:val="100"/>
          <w:position w:val="0"/>
          <w:shd w:val="clear" w:color="auto" w:fill="auto"/>
          <w:lang w:val="ru-RU" w:eastAsia="ru-RU" w:bidi="ru-RU"/>
        </w:rPr>
        <w:t>Перчатки смотровые/процедурные нитриловые, неопудренные, нестерильные с кодом КТРУ 22.19.60.119-00000008;</w:t>
      </w:r>
    </w:p>
    <w:p>
      <w:pPr>
        <w:pStyle w:val="Style11"/>
        <w:keepNext w:val="0"/>
        <w:keepLines w:val="0"/>
        <w:widowControl w:val="0"/>
        <w:numPr>
          <w:ilvl w:val="0"/>
          <w:numId w:val="9"/>
        </w:numPr>
        <w:shd w:val="clear" w:color="auto" w:fill="auto"/>
        <w:tabs>
          <w:tab w:pos="927" w:val="left"/>
        </w:tabs>
        <w:bidi w:val="0"/>
        <w:spacing w:before="0" w:after="0"/>
        <w:ind w:left="0" w:right="0" w:firstLine="740"/>
        <w:jc w:val="both"/>
      </w:pPr>
      <w:r>
        <w:rPr>
          <w:color w:val="000000"/>
          <w:spacing w:val="0"/>
          <w:w w:val="100"/>
          <w:position w:val="0"/>
          <w:shd w:val="clear" w:color="auto" w:fill="auto"/>
          <w:lang w:val="ru-RU" w:eastAsia="ru-RU" w:bidi="ru-RU"/>
        </w:rPr>
        <w:t>Перчатки смотровые/процедурные нитриловые, неопудренные, стерильные с кодом КТРУ 22.19.60.119-00000014;</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приименных позициях кодов КТРУ отсутствуют функциональные характеристики товара (обязательные (рекомендуемые)), которые Заказчики должны установить при формировании описания объекта закупки, что позволяет заказчикам самостоятельно определять технические характеристики, закупаемого товара, но в рамках функционального назначения оборудования, соответствующего указанному коду КТРУ.</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При таких обстоятельствах, Заказчику при формировании закупки в рамках Закона были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Характеристики товара установлены в структурированной форме извещения. Как следует из письменных пояснений Заказчика, при формировании описания объекта закупки Заказчик исходил из потребности в товаре данного вида и достижении стоящих перед ним задач. Характеристики медицинских изделий, являющихся объектом закупки, указанные в описание объекта закупки, определены с учетом специфики использования товара и потребностью Заказчика при оказании медицинской помощи.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Томского УФАС России отмечает, что по общему правилу указание Заказчиком в извещении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Законодательство о контрактной системе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маркам изделий, и не предусматривает ограничения по включению в извещение о проведении закупки требований к товарам, являющихся значимыми для заказчика.</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Предметом закупочной процедуры является право заключения договора поставки произведенных и широко обращающихся медицинских изделий, при этом любое лицо, соответствующее установленным в документации требованиям, может принять участие в процедуре закупки, приобрести и поставить необходимые медицинские изделия, в связи с чем довод заявителя об ограничении круга участников закупки, по мнению Заказчика является необоснованным.</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Таким образом, нормы Закона о контрактной системе направлены на </w:t>
      </w:r>
      <w:r>
        <w:rPr>
          <w:color w:val="000000"/>
          <w:spacing w:val="0"/>
          <w:w w:val="100"/>
          <w:position w:val="0"/>
          <w:shd w:val="clear" w:color="auto" w:fill="auto"/>
          <w:lang w:val="ru-RU" w:eastAsia="ru-RU" w:bidi="ru-RU"/>
        </w:rPr>
        <w:t>обеспечение конкуренции не между товарами и не между производителями товаров, а между участниками закупок, при этом основной задачей этих норм является не столько обеспечение максимально широкого круга участников закупок, сколько выявление в результате этого определения лица, исполнение контракта которым в наибольшей степени удовлетворит потребности заказчика в необходимом ему товаре.</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Томского УФАС России, проанализировав описание объекта закупки пришла к выводу, что при описании объекта закупки Заказчиком установлены максимальные и минимальные значения показателей, а также значения, которые не могут изменяться, указания на товарный знак отсутствуют, установленные показатели соответствуют принципу, изложенному в статье 10 Закона. Таким образом, нарушений требований статьи 33 Закона не установлено.</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Помимо этого, Заказчиком представлены в материалы дела коммерческие предложения ООО «А» от 21.08.2024 №443, ООО «ТМ» от 21.08.2024 №396, ООО «И» от 22.08.2024 №б/н, согласно которым поставщики имеют возможность поставить товар как минимум двух производителей, характеристики которых соответствуют требованиям описания объекта закупки.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Кроме этого, Заявителем не представлены доказательства невозможности подачи заявки другими участниками, в том числе и невозможность поставки изделий, с указанными в описание объекта закупки характеристиками, широким кругом лиц, что могло бы привести к ограничению конкуренции.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Требуемый к поставке товар свободно обращается на рынке и может быть поставлен любым физическим или юридическим лицом. Заказчик не устанавливает ограничивающих конкуренцию требований, в том числе, к наличию товара на складе потенциального поставщика при проведении торгов - товар может быть приобретен в свободном порядке после признания конкретного лица победителем.</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Достаточных доказательств того, что оспариваемые требования к товару влекут за собой ограничение количества участников закупки на соответствующем товарном рынке поставки, в том числе ограничили право заявителя на участие в электронном аукционе, препятствовали каким-либо образом подаче заявки заявителем на участие в закупке, в материалах внеплановой проверки отсутствуют, Заявителем в Томское УФАС России не представлено.</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При формировании предмета закупки заказчик не обязан доказывать свою потребность в закупаемом товаре, а участники закупки не вправе в той или иной форме воздействовать на потребность заказчика, как не вправе определять и государственные нужды.</w:t>
      </w:r>
    </w:p>
    <w:p>
      <w:pPr>
        <w:pStyle w:val="Style11"/>
        <w:keepNext w:val="0"/>
        <w:keepLines w:val="0"/>
        <w:widowControl w:val="0"/>
        <w:shd w:val="clear" w:color="auto" w:fill="auto"/>
        <w:bidi w:val="0"/>
        <w:spacing w:before="0" w:after="0"/>
        <w:ind w:left="0" w:right="0" w:firstLine="740"/>
        <w:jc w:val="both"/>
        <w:sectPr>
          <w:headerReference w:type="default" r:id="rId13"/>
          <w:footerReference w:type="default" r:id="rId14"/>
          <w:footnotePr>
            <w:pos w:val="pageBottom"/>
            <w:numFmt w:val="decimal"/>
            <w:numRestart w:val="continuous"/>
          </w:footnotePr>
          <w:pgSz w:w="11900" w:h="16840"/>
          <w:pgMar w:top="1702" w:right="533" w:bottom="1262" w:left="1096" w:header="0" w:footer="3" w:gutter="0"/>
          <w:cols w:space="720"/>
          <w:noEndnote/>
          <w:rtlGutter w:val="0"/>
          <w:docGrid w:linePitch="360"/>
        </w:sectPr>
      </w:pPr>
      <w:r>
        <w:rPr>
          <w:color w:val="000000"/>
          <w:spacing w:val="0"/>
          <w:w w:val="100"/>
          <w:position w:val="0"/>
          <w:shd w:val="clear" w:color="auto" w:fill="auto"/>
          <w:lang w:val="ru-RU" w:eastAsia="ru-RU" w:bidi="ru-RU"/>
        </w:rPr>
        <w:t>Заказчик не имеет возможности установить требования к техническим характеристикам товара, которые удовлетворяли бы всех возможных участников закупки. Законодательство не обязывает Заказчика при определении характеристик поставляемого товара в документации о проведении аукциона устанавливать такие характеристики, которые соответствовали бы всем существующим на рынке типам, видам, моделям товара.</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Относительно пятого довода Заявителя Комиссия Томского УФАС России установила следующее.</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Остаточный срок годности на момент поставки не относится к конкретным функциональным, техническим показателям товара.</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Не указание в проекте контракта остаточного срока годности на момент поставки не нарушает требования законодательства о контрактной системе.</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со статьей 506 Гражданского кодекса РФ в качестве поставщика по договору поставки может выступать как непосредственно сам производитель, так и иное лицо, закупающее товары для дальнейшей передачи.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Закон о контрактной системе устанавливает особые запреты и ограничения только к единственному поставщику, а не единственному производителю.</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Таким образом, отсутствие у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Заявитель не представил достаточных доказательств ограничения прав участников закупки.</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Таким образом, данный довод жалобы Комиссией признан необоснованным.</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 учетом вышеизложенного, Комиссия Томского УФАС России приходит к выводу о признании жалобы Заявителя частично обоснованной. В действиях Заказчика выявлены нарушения части 2 статьи 8 и пункта 2 части 1 статьи 33 Закона о контрактной системе.</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По итогам рассмотрения настоящей жалобы, Комиссия Томского УФАС России решила обязательное для исполнения предписание не выдавать, ввиду ранее выданного предписания по делу №070/06/106-838/2024 от 18.09.2024.</w:t>
      </w:r>
    </w:p>
    <w:p>
      <w:pPr>
        <w:pStyle w:val="Style11"/>
        <w:keepNext w:val="0"/>
        <w:keepLines w:val="0"/>
        <w:widowControl w:val="0"/>
        <w:shd w:val="clear" w:color="auto" w:fill="auto"/>
        <w:bidi w:val="0"/>
        <w:spacing w:before="0" w:after="320"/>
        <w:ind w:left="0" w:right="0" w:firstLine="740"/>
        <w:jc w:val="both"/>
      </w:pPr>
      <w:r>
        <w:rPr>
          <w:color w:val="000000"/>
          <w:spacing w:val="0"/>
          <w:w w:val="100"/>
          <w:position w:val="0"/>
          <w:shd w:val="clear" w:color="auto" w:fill="auto"/>
          <w:lang w:val="ru-RU" w:eastAsia="ru-RU" w:bidi="ru-RU"/>
        </w:rPr>
        <w:t>Принимая во внимание вышеизложенное, и руководствуясь статьей 42, статьей 48, статьей 105, статьей 106 Закона 44-ФЗ, Комиссия Томского УФАС России,</w:t>
      </w:r>
    </w:p>
    <w:p>
      <w:pPr>
        <w:pStyle w:val="Style11"/>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 Е Ш И Л А:</w:t>
      </w:r>
    </w:p>
    <w:p>
      <w:pPr>
        <w:pStyle w:val="Style11"/>
        <w:keepNext w:val="0"/>
        <w:keepLines w:val="0"/>
        <w:widowControl w:val="0"/>
        <w:numPr>
          <w:ilvl w:val="0"/>
          <w:numId w:val="11"/>
        </w:numPr>
        <w:shd w:val="clear" w:color="auto" w:fill="auto"/>
        <w:tabs>
          <w:tab w:pos="1093" w:val="left"/>
        </w:tabs>
        <w:bidi w:val="0"/>
        <w:spacing w:before="0" w:after="0"/>
        <w:ind w:left="0" w:right="0" w:firstLine="740"/>
        <w:jc w:val="both"/>
      </w:pPr>
      <w:r>
        <w:rPr>
          <w:color w:val="000000"/>
          <w:spacing w:val="0"/>
          <w:w w:val="100"/>
          <w:position w:val="0"/>
          <w:shd w:val="clear" w:color="auto" w:fill="auto"/>
          <w:lang w:val="ru-RU" w:eastAsia="ru-RU" w:bidi="ru-RU"/>
        </w:rPr>
        <w:t>Признать жалобу ООО «Аксиомед» (вх. №7638-ЭП/24 от 16.09.2024) на действия Заказчика - ФГБУ «СибФНКЦ ФМБА России» при проведении электронного аукциона «Поставка товара (Перчатки)» (извещение № 0365100016324000353) частично обоснованной.</w:t>
      </w:r>
    </w:p>
    <w:p>
      <w:pPr>
        <w:pStyle w:val="Style11"/>
        <w:keepNext w:val="0"/>
        <w:keepLines w:val="0"/>
        <w:widowControl w:val="0"/>
        <w:numPr>
          <w:ilvl w:val="0"/>
          <w:numId w:val="11"/>
        </w:numPr>
        <w:shd w:val="clear" w:color="auto" w:fill="auto"/>
        <w:tabs>
          <w:tab w:pos="1088" w:val="left"/>
        </w:tabs>
        <w:bidi w:val="0"/>
        <w:spacing w:before="0" w:after="0"/>
        <w:ind w:left="0" w:right="0" w:firstLine="740"/>
        <w:jc w:val="both"/>
      </w:pPr>
      <w:r>
        <w:rPr>
          <w:color w:val="000000"/>
          <w:spacing w:val="0"/>
          <w:w w:val="100"/>
          <w:position w:val="0"/>
          <w:shd w:val="clear" w:color="auto" w:fill="auto"/>
          <w:lang w:val="ru-RU" w:eastAsia="ru-RU" w:bidi="ru-RU"/>
        </w:rPr>
        <w:t>В действиях Заказчика выявлены нарушения части 2 статьи 8 и пункта 2 части 1 статьи 33 Закона о контрактной системе.</w:t>
      </w:r>
    </w:p>
    <w:p>
      <w:pPr>
        <w:pStyle w:val="Style11"/>
        <w:keepNext w:val="0"/>
        <w:keepLines w:val="0"/>
        <w:widowControl w:val="0"/>
        <w:numPr>
          <w:ilvl w:val="0"/>
          <w:numId w:val="11"/>
        </w:numPr>
        <w:shd w:val="clear" w:color="auto" w:fill="auto"/>
        <w:tabs>
          <w:tab w:pos="1652" w:val="left"/>
        </w:tabs>
        <w:bidi w:val="0"/>
        <w:spacing w:before="0" w:after="320"/>
        <w:ind w:left="0" w:right="0" w:firstLine="740"/>
        <w:jc w:val="both"/>
      </w:pPr>
      <w:r>
        <w:rPr>
          <w:color w:val="000000"/>
          <w:spacing w:val="0"/>
          <w:w w:val="100"/>
          <w:position w:val="0"/>
          <w:shd w:val="clear" w:color="auto" w:fill="auto"/>
          <w:lang w:val="ru-RU" w:eastAsia="ru-RU" w:bidi="ru-RU"/>
        </w:rPr>
        <w:t>Предписание не выдавать.</w:t>
      </w:r>
    </w:p>
    <w:p>
      <w:pPr>
        <w:pStyle w:val="Style11"/>
        <w:keepNext w:val="0"/>
        <w:keepLines w:val="0"/>
        <w:widowControl w:val="0"/>
        <w:shd w:val="clear" w:color="auto" w:fill="auto"/>
        <w:bidi w:val="0"/>
        <w:spacing w:before="0" w:after="40"/>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в установленном законом порядке.</w:t>
      </w:r>
    </w:p>
    <w:p>
      <w:pPr>
        <w:pStyle w:val="Style11"/>
        <w:keepNext w:val="0"/>
        <w:keepLines w:val="0"/>
        <w:widowControl w:val="0"/>
        <w:shd w:val="clear" w:color="auto" w:fill="auto"/>
        <w:bidi w:val="0"/>
        <w:spacing w:before="0" w:after="120"/>
        <w:ind w:left="0" w:right="0" w:firstLine="0"/>
        <w:jc w:val="both"/>
      </w:pPr>
      <w:r>
        <w:rPr>
          <w:color w:val="000000"/>
          <w:spacing w:val="0"/>
          <w:w w:val="100"/>
          <w:position w:val="0"/>
          <w:shd w:val="clear" w:color="auto" w:fill="auto"/>
          <w:lang w:val="ru-RU" w:eastAsia="ru-RU" w:bidi="ru-RU"/>
        </w:rPr>
        <w:t>Председатель комиссии</w:t>
      </w:r>
    </w:p>
    <w:p>
      <w:pPr>
        <w:pStyle w:val="Style20"/>
        <w:keepNext w:val="0"/>
        <w:keepLines w:val="0"/>
        <w:widowControl w:val="0"/>
        <w:shd w:val="clear" w:color="auto" w:fill="auto"/>
        <w:bidi w:val="0"/>
        <w:spacing w:before="0" w:line="240" w:lineRule="auto"/>
        <w:ind w:right="0" w:firstLine="0"/>
        <w:jc w:val="left"/>
      </w:pPr>
      <w:r>
        <w:rPr>
          <w:spacing w:val="0"/>
          <w:w w:val="100"/>
          <w:position w:val="0"/>
          <w:shd w:val="clear" w:color="auto" w:fill="auto"/>
          <w:lang w:val="ru-RU" w:eastAsia="ru-RU" w:bidi="ru-RU"/>
        </w:rPr>
        <w:t>Мест дли подписи:</w:t>
      </w:r>
    </w:p>
    <w:p>
      <w:pPr>
        <w:pStyle w:val="Style11"/>
        <w:keepNext w:val="0"/>
        <w:keepLines w:val="0"/>
        <w:widowControl w:val="0"/>
        <w:shd w:val="clear" w:color="auto" w:fill="auto"/>
        <w:bidi w:val="0"/>
        <w:spacing w:before="0" w:after="220" w:line="240" w:lineRule="auto"/>
        <w:ind w:left="3380" w:right="0" w:firstLine="0"/>
        <w:jc w:val="left"/>
        <w:sectPr>
          <w:footnotePr>
            <w:pos w:val="pageBottom"/>
            <w:numFmt w:val="decimal"/>
            <w:numRestart w:val="continuous"/>
          </w:footnotePr>
          <w:pgSz w:w="11900" w:h="16840"/>
          <w:pgMar w:top="1705" w:right="530" w:bottom="711" w:left="1098" w:header="0" w:footer="3" w:gutter="0"/>
          <w:cols w:space="720"/>
          <w:noEndnote/>
          <w:rtlGutter w:val="0"/>
          <w:docGrid w:linePitch="360"/>
        </w:sectPr>
      </w:pPr>
      <w:r>
        <w:rPr>
          <w:b/>
          <w:bCs/>
          <w:color w:val="828282"/>
          <w:spacing w:val="0"/>
          <w:w w:val="100"/>
          <w:position w:val="0"/>
          <w:shd w:val="clear" w:color="auto" w:fill="auto"/>
          <w:lang w:val="ru-RU" w:eastAsia="ru-RU" w:bidi="ru-RU"/>
        </w:rPr>
        <w:t>Абщура кмЭнИн А. Ф</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pgSz w:w="11900" w:h="16840"/>
          <w:pgMar w:top="1459" w:right="568" w:bottom="1166" w:left="1132" w:header="0" w:footer="3" w:gutter="0"/>
          <w:cols w:space="720"/>
          <w:noEndnote/>
          <w:rtlGutter w:val="0"/>
          <w:docGrid w:linePitch="360"/>
        </w:sectPr>
      </w:pPr>
    </w:p>
    <w:p>
      <w:pPr>
        <w:pStyle w:val="Style11"/>
        <w:keepNext w:val="0"/>
        <w:keepLines w:val="0"/>
        <w:framePr w:w="893" w:h="331" w:wrap="none" w:vAnchor="text" w:hAnchor="page" w:x="10430" w:y="2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А.Ф, А</w:t>
      </w:r>
    </w:p>
    <w:p>
      <w:pPr>
        <w:pStyle w:val="Style11"/>
        <w:keepNext w:val="0"/>
        <w:keepLines w:val="0"/>
        <w:framePr w:w="2112" w:h="331" w:wrap="none" w:vAnchor="text" w:hAnchor="page" w:x="1157" w:y="17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1"/>
        <w:keepNext w:val="0"/>
        <w:keepLines w:val="0"/>
        <w:framePr w:w="850" w:h="331" w:wrap="none" w:vAnchor="text" w:hAnchor="page" w:x="10474" w:y="21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Д</w:t>
      </w:r>
    </w:p>
    <w:p>
      <w:pPr>
        <w:pStyle w:val="Style11"/>
        <w:keepNext w:val="0"/>
        <w:keepLines w:val="0"/>
        <w:framePr w:w="898" w:h="331" w:wrap="none" w:vAnchor="text" w:hAnchor="page" w:x="10435" w:y="387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И.З. Га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04" w:line="1" w:lineRule="exact"/>
      </w:pPr>
    </w:p>
    <w:p>
      <w:pPr>
        <w:widowControl w:val="0"/>
        <w:spacing w:line="1" w:lineRule="exact"/>
      </w:pPr>
    </w:p>
    <w:sectPr>
      <w:footnotePr>
        <w:pos w:val="pageBottom"/>
        <w:numFmt w:val="decimal"/>
        <w:numRestart w:val="continuous"/>
      </w:footnotePr>
      <w:type w:val="continuous"/>
      <w:pgSz w:w="11900" w:h="16840"/>
      <w:pgMar w:top="1459" w:right="568" w:bottom="1166" w:left="113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718820</wp:posOffset>
              </wp:positionH>
              <wp:positionV relativeFrom="page">
                <wp:posOffset>10017125</wp:posOffset>
              </wp:positionV>
              <wp:extent cx="652145" cy="100330"/>
              <wp:wrapNone/>
              <wp:docPr id="3" name="Shape 3"/>
              <a:graphic xmlns:a="http://schemas.openxmlformats.org/drawingml/2006/main">
                <a:graphicData uri="http://schemas.microsoft.com/office/word/2010/wordprocessingShape">
                  <wps:wsp>
                    <wps:cNvSpPr txBox="1"/>
                    <wps:spPr>
                      <a:xfrm>
                        <a:ext cx="652145"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2024-7184</w:t>
                          </w:r>
                        </w:p>
                      </w:txbxContent>
                    </wps:txbx>
                    <wps:bodyPr wrap="none" lIns="0" tIns="0" rIns="0" bIns="0">
                      <a:spAutoFit/>
                    </wps:bodyPr>
                  </wps:wsp>
                </a:graphicData>
              </a:graphic>
            </wp:anchor>
          </w:drawing>
        </mc:Choice>
        <mc:Fallback>
          <w:pict>
            <v:shape id="_x0000_s1029" type="#_x0000_t202" style="position:absolute;margin-left:56.600000000000001pt;margin-top:788.75pt;width:51.35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2024-7184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9856470</wp:posOffset>
              </wp:positionV>
              <wp:extent cx="652145" cy="106680"/>
              <wp:wrapNone/>
              <wp:docPr id="5" name="Shape 5"/>
              <a:graphic xmlns:a="http://schemas.openxmlformats.org/drawingml/2006/main">
                <a:graphicData uri="http://schemas.microsoft.com/office/word/2010/wordprocessingShape">
                  <wps:wsp>
                    <wps:cNvSpPr txBox="1"/>
                    <wps:spPr>
                      <a:xfrm>
                        <a:ext cx="652145" cy="1066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2024-7184</w:t>
                          </w:r>
                        </w:p>
                      </w:txbxContent>
                    </wps:txbx>
                    <wps:bodyPr wrap="none" lIns="0" tIns="0" rIns="0" bIns="0">
                      <a:spAutoFit/>
                    </wps:bodyPr>
                  </wps:wsp>
                </a:graphicData>
              </a:graphic>
            </wp:anchor>
          </w:drawing>
        </mc:Choice>
        <mc:Fallback>
          <w:pict>
            <v:shape id="_x0000_s1031" type="#_x0000_t202" style="position:absolute;margin-left:56.800000000000004pt;margin-top:776.10000000000002pt;width:51.350000000000001pt;height:8.4000000000000004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2024-7184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718820</wp:posOffset>
              </wp:positionH>
              <wp:positionV relativeFrom="page">
                <wp:posOffset>10017125</wp:posOffset>
              </wp:positionV>
              <wp:extent cx="652145" cy="100330"/>
              <wp:wrapNone/>
              <wp:docPr id="15" name="Shape 15"/>
              <a:graphic xmlns:a="http://schemas.openxmlformats.org/drawingml/2006/main">
                <a:graphicData uri="http://schemas.microsoft.com/office/word/2010/wordprocessingShape">
                  <wps:wsp>
                    <wps:cNvSpPr txBox="1"/>
                    <wps:spPr>
                      <a:xfrm>
                        <a:ext cx="652145"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2024-7184</w:t>
                          </w:r>
                        </w:p>
                      </w:txbxContent>
                    </wps:txbx>
                    <wps:bodyPr wrap="none" lIns="0" tIns="0" rIns="0" bIns="0">
                      <a:spAutoFit/>
                    </wps:bodyPr>
                  </wps:wsp>
                </a:graphicData>
              </a:graphic>
            </wp:anchor>
          </w:drawing>
        </mc:Choice>
        <mc:Fallback>
          <w:pict>
            <v:shape id="_x0000_s1041" type="#_x0000_t202" style="position:absolute;margin-left:56.600000000000001pt;margin-top:788.75pt;width:51.35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2024-7184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3900805</wp:posOffset>
              </wp:positionH>
              <wp:positionV relativeFrom="page">
                <wp:posOffset>742315</wp:posOffset>
              </wp:positionV>
              <wp:extent cx="128270" cy="103505"/>
              <wp:wrapNone/>
              <wp:docPr id="1" name="Shape 1"/>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7.15000000000003pt;margin-top:58.450000000000003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3926205</wp:posOffset>
              </wp:positionH>
              <wp:positionV relativeFrom="page">
                <wp:posOffset>759460</wp:posOffset>
              </wp:positionV>
              <wp:extent cx="64135" cy="103505"/>
              <wp:wrapNone/>
              <wp:docPr id="11" name="Shape 1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15000000000003pt;margin-top:59.800000000000004pt;width:5.0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3900805</wp:posOffset>
              </wp:positionH>
              <wp:positionV relativeFrom="page">
                <wp:posOffset>742315</wp:posOffset>
              </wp:positionV>
              <wp:extent cx="128270" cy="103505"/>
              <wp:wrapNone/>
              <wp:docPr id="13" name="Shape 1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7.15000000000003pt;margin-top:58.450000000000003pt;width:10.1pt;height:8.1500000000000004pt;z-index:-188744055;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061A9"/>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061A9"/>
      <w:sz w:val="19"/>
      <w:szCs w:val="19"/>
      <w:u w:val="none"/>
    </w:rPr>
  </w:style>
  <w:style w:type="character" w:customStyle="1" w:styleId="CharStyle8">
    <w:name w:val="Основной текст (5)_"/>
    <w:basedOn w:val="DefaultParagraphFont"/>
    <w:link w:val="Style7"/>
    <w:rPr>
      <w:rFonts w:ascii="Arial" w:eastAsia="Arial" w:hAnsi="Arial" w:cs="Arial"/>
      <w:b/>
      <w:bCs/>
      <w:i w:val="0"/>
      <w:iCs w:val="0"/>
      <w:smallCaps w:val="0"/>
      <w:strike w:val="0"/>
      <w:sz w:val="10"/>
      <w:szCs w:val="10"/>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Основной текст (2)_"/>
    <w:basedOn w:val="DefaultParagraphFont"/>
    <w:link w:val="Style17"/>
    <w:rPr>
      <w:b w:val="0"/>
      <w:bCs w:val="0"/>
      <w:i w:val="0"/>
      <w:iCs w:val="0"/>
      <w:smallCaps w:val="0"/>
      <w:strike w:val="0"/>
      <w:u w:val="none"/>
    </w:rPr>
  </w:style>
  <w:style w:type="character" w:customStyle="1" w:styleId="CharStyle21">
    <w:name w:val="Основной текст (6)_"/>
    <w:basedOn w:val="DefaultParagraphFont"/>
    <w:link w:val="Style20"/>
    <w:rPr>
      <w:rFonts w:ascii="Arial" w:eastAsia="Arial" w:hAnsi="Arial" w:cs="Arial"/>
      <w:b/>
      <w:bCs/>
      <w:i w:val="0"/>
      <w:iCs w:val="0"/>
      <w:smallCaps w:val="0"/>
      <w:strike w:val="0"/>
      <w:color w:val="828282"/>
      <w:sz w:val="22"/>
      <w:szCs w:val="22"/>
      <w:u w:val="none"/>
    </w:rPr>
  </w:style>
  <w:style w:type="paragraph" w:customStyle="1" w:styleId="Style2">
    <w:name w:val="Основной текст (3)"/>
    <w:basedOn w:val="Normal"/>
    <w:link w:val="CharStyle3"/>
    <w:pPr>
      <w:widowControl w:val="0"/>
      <w:shd w:val="clear" w:color="auto" w:fill="auto"/>
      <w:spacing w:after="80" w:line="276" w:lineRule="auto"/>
      <w:jc w:val="center"/>
    </w:pPr>
    <w:rPr>
      <w:rFonts w:ascii="Times New Roman" w:eastAsia="Times New Roman" w:hAnsi="Times New Roman" w:cs="Times New Roman"/>
      <w:b w:val="0"/>
      <w:bCs w:val="0"/>
      <w:i w:val="0"/>
      <w:iCs w:val="0"/>
      <w:smallCaps w:val="0"/>
      <w:strike w:val="0"/>
      <w:color w:val="4061A9"/>
      <w:sz w:val="16"/>
      <w:szCs w:val="16"/>
      <w:u w:val="none"/>
    </w:rPr>
  </w:style>
  <w:style w:type="paragraph" w:customStyle="1" w:styleId="Style5">
    <w:name w:val="Основной текст (4)"/>
    <w:basedOn w:val="Normal"/>
    <w:link w:val="CharStyle6"/>
    <w:pPr>
      <w:widowControl w:val="0"/>
      <w:shd w:val="clear" w:color="auto" w:fill="auto"/>
      <w:spacing w:after="180" w:line="252" w:lineRule="auto"/>
      <w:jc w:val="center"/>
    </w:pPr>
    <w:rPr>
      <w:rFonts w:ascii="Times New Roman" w:eastAsia="Times New Roman" w:hAnsi="Times New Roman" w:cs="Times New Roman"/>
      <w:b/>
      <w:bCs/>
      <w:i w:val="0"/>
      <w:iCs w:val="0"/>
      <w:smallCaps w:val="0"/>
      <w:strike w:val="0"/>
      <w:color w:val="4061A9"/>
      <w:sz w:val="19"/>
      <w:szCs w:val="19"/>
      <w:u w:val="none"/>
    </w:rPr>
  </w:style>
  <w:style w:type="paragraph" w:customStyle="1" w:styleId="Style7">
    <w:name w:val="Основной текст (5)"/>
    <w:basedOn w:val="Normal"/>
    <w:link w:val="CharStyle8"/>
    <w:pPr>
      <w:widowControl w:val="0"/>
      <w:shd w:val="clear" w:color="auto" w:fill="auto"/>
      <w:spacing w:after="120" w:line="262" w:lineRule="auto"/>
      <w:jc w:val="center"/>
    </w:pPr>
    <w:rPr>
      <w:rFonts w:ascii="Arial" w:eastAsia="Arial" w:hAnsi="Arial" w:cs="Arial"/>
      <w:b/>
      <w:bCs/>
      <w:i w:val="0"/>
      <w:iCs w:val="0"/>
      <w:smallCaps w:val="0"/>
      <w:strike w:val="0"/>
      <w:sz w:val="10"/>
      <w:szCs w:val="10"/>
      <w:u w:val="none"/>
    </w:rPr>
  </w:style>
  <w:style w:type="paragraph" w:customStyle="1" w:styleId="Style11">
    <w:name w:val="Основной текст"/>
    <w:basedOn w:val="Normal"/>
    <w:link w:val="CharStyle12"/>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Основной текст (2)"/>
    <w:basedOn w:val="Normal"/>
    <w:link w:val="CharStyle18"/>
    <w:pPr>
      <w:widowControl w:val="0"/>
      <w:shd w:val="clear" w:color="auto" w:fill="auto"/>
      <w:spacing w:line="276" w:lineRule="auto"/>
      <w:ind w:firstLine="760"/>
    </w:pPr>
    <w:rPr>
      <w:b w:val="0"/>
      <w:bCs w:val="0"/>
      <w:i w:val="0"/>
      <w:iCs w:val="0"/>
      <w:smallCaps w:val="0"/>
      <w:strike w:val="0"/>
      <w:u w:val="none"/>
    </w:rPr>
  </w:style>
  <w:style w:type="paragraph" w:customStyle="1" w:styleId="Style20">
    <w:name w:val="Основной текст (6)"/>
    <w:basedOn w:val="Normal"/>
    <w:link w:val="CharStyle21"/>
    <w:pPr>
      <w:widowControl w:val="0"/>
      <w:shd w:val="clear" w:color="auto" w:fill="auto"/>
      <w:spacing w:after="120"/>
      <w:ind w:left="3380"/>
    </w:pPr>
    <w:rPr>
      <w:rFonts w:ascii="Arial" w:eastAsia="Arial" w:hAnsi="Arial" w:cs="Arial"/>
      <w:b/>
      <w:bCs/>
      <w:i w:val="0"/>
      <w:iCs w:val="0"/>
      <w:smallCaps w:val="0"/>
      <w:strike w:val="0"/>
      <w:color w:val="828282"/>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s>
</file>

<file path=docProps/core.xml><?xml version="1.0" encoding="utf-8"?>
<cp:coreProperties xmlns:cp="http://schemas.openxmlformats.org/package/2006/metadata/core-properties" xmlns:dc="http://purl.org/dc/elements/1.1/">
  <dc:title>blank.pdf (25).odt</dc:title>
  <dc:subject/>
  <dc:creator>ˆ@K;&gt;20 ˆ0@8=0 !5@3552=0</dc:creator>
  <cp:keywords/>
</cp:coreProperties>
</file>