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0225" cy="62166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216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600"/>
        <w:jc w:val="left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b/>
          <w:bCs/>
          <w:color w:val="4B6294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Смоленской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Октябрьской Революции, 14а, г. Смоленск, 214000</w:t>
        <w:br/>
        <w:t>тел.(4812) 38-62-22, факс (4812) 38-62-22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е-таП: </w:t>
      </w:r>
      <w:r>
        <w:fldChar w:fldCharType="begin"/>
      </w:r>
      <w:r>
        <w:rPr/>
        <w:instrText> HYPERLINK "mailto:to67@fas.gov.ru"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1о67@Гаа. </w:t>
      </w: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цоу.гн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ВШ/4035/2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r>
        <w:rPr>
          <w:color w:val="4B629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</w:t>
      </w:r>
      <w:r>
        <w:rPr>
          <w:color w:val="848995"/>
          <w:spacing w:val="0"/>
          <w:w w:val="100"/>
          <w:position w:val="0"/>
          <w:shd w:val="clear" w:color="auto" w:fill="auto"/>
          <w:lang w:val="ru-RU" w:eastAsia="ru-RU" w:bidi="ru-RU"/>
        </w:rPr>
        <w:t>от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^решение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Государственный заказчик: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Министерство здравоохранения Смоленской области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пл. Ленина, дом 1, каб. 223, г. Смоленск, 214008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тагкеГо хс1гау-8то1еп8к.га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Уполномоченный орган:</w:t>
      </w:r>
      <w:bookmarkEnd w:id="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Главное управление Смоленской области по регулированию контрактной системы 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пл. Ленина, 1, каб. 243, г. Смоленск, 214008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fldChar w:fldCharType="begin"/>
      </w:r>
      <w:r>
        <w:rPr/>
        <w:instrText> HYPERLINK "mailto:goszakaz@admin-smolensk.ru"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§О82аках@ас1т1п-8то1еп8к.ги</w:t>
      </w:r>
      <w:r>
        <w:fldChar w:fldCharType="end"/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  <w:bookmarkEnd w:id="6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«АПгрейт»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Станиславского, д. 167/25, оф. 602, г. Ростов-на-Дону, 344022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fldChar w:fldCharType="begin"/>
      </w:r>
      <w:r>
        <w:rPr/>
        <w:instrText> HYPERLINK "mailto:asd456wsx96@yandex.ru"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а8(1456\У8х96?/уап(1сх.ги</w:t>
      </w:r>
      <w:r>
        <w:fldChar w:fldCharType="end"/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Электронная площадка:</w:t>
      </w:r>
      <w:bookmarkEnd w:id="8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84" w:right="676" w:bottom="1183" w:left="1140" w:header="0" w:footer="3" w:gutter="0"/>
          <w:pgNumType w:start="1"/>
          <w:cols w:num="2" w:space="720" w:equalWidth="0">
            <w:col w:w="4296" w:space="965"/>
            <w:col w:w="4824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П8-1епс1ег.п1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1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framePr w:w="6917" w:h="883" w:wrap="none" w:vAnchor="text" w:hAnchor="page" w:x="278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7"/>
        <w:keepNext w:val="0"/>
        <w:keepLines w:val="0"/>
        <w:framePr w:w="6917" w:h="883" w:wrap="none" w:vAnchor="text" w:hAnchor="page" w:x="278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делу № 067/06/33-612/2024 о нарушении</w:t>
        <w:br/>
        <w:t>законодательства Российской Федерации о контрактной системе</w:t>
      </w:r>
    </w:p>
    <w:p>
      <w:pPr>
        <w:pStyle w:val="Style17"/>
        <w:keepNext w:val="0"/>
        <w:keepLines w:val="0"/>
        <w:framePr w:w="2400" w:h="307" w:wrap="none" w:vAnchor="text" w:hAnchor="page" w:x="1112" w:y="11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24 сентября 2024 года</w:t>
      </w:r>
    </w:p>
    <w:p>
      <w:pPr>
        <w:pStyle w:val="Style17"/>
        <w:keepNext w:val="0"/>
        <w:keepLines w:val="0"/>
        <w:framePr w:w="1301" w:h="298" w:wrap="none" w:vAnchor="text" w:hAnchor="page" w:x="9430" w:y="11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Смоленск</w:t>
      </w:r>
    </w:p>
    <w:p>
      <w:pPr>
        <w:pStyle w:val="Style17"/>
        <w:keepNext w:val="0"/>
        <w:keepLines w:val="0"/>
        <w:framePr w:w="10229" w:h="595" w:wrap="none" w:vAnchor="text" w:hAnchor="page" w:x="1117" w:y="1729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Смоленского УФАС России по контролю в сфере закупок (далее - Комиссия) в следующем составе:</w:t>
      </w:r>
    </w:p>
    <w:p>
      <w:pPr>
        <w:pStyle w:val="Style17"/>
        <w:keepNext w:val="0"/>
        <w:keepLines w:val="0"/>
        <w:framePr w:w="2621" w:h="595" w:wrap="none" w:vAnchor="text" w:hAnchor="page" w:x="1083" w:y="25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Заместитель</w:t>
      </w:r>
    </w:p>
    <w:p>
      <w:pPr>
        <w:pStyle w:val="Style17"/>
        <w:keepNext w:val="0"/>
        <w:keepLines w:val="0"/>
        <w:framePr w:w="2621" w:h="595" w:wrap="none" w:vAnchor="text" w:hAnchor="page" w:x="1083" w:y="25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председателя Комиссии:</w:t>
      </w:r>
    </w:p>
    <w:p>
      <w:pPr>
        <w:pStyle w:val="Style17"/>
        <w:keepNext w:val="0"/>
        <w:keepLines w:val="0"/>
        <w:framePr w:w="1915" w:h="298" w:wrap="none" w:vAnchor="text" w:hAnchor="page" w:x="1078" w:y="40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7"/>
        <w:keepNext w:val="0"/>
        <w:keepLines w:val="0"/>
        <w:framePr w:w="4282" w:h="3178" w:wrap="none" w:vAnchor="text" w:hAnchor="page" w:x="7083" w:y="2881"/>
        <w:widowControl w:val="0"/>
        <w:numPr>
          <w:ilvl w:val="0"/>
          <w:numId w:val="1"/>
        </w:numPr>
        <w:shd w:val="clear" w:color="auto" w:fill="auto"/>
        <w:tabs>
          <w:tab w:pos="21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начальник отдела контроля закупок и антимонопольного контроля органов власти Смоленского УФАС России;</w:t>
      </w:r>
    </w:p>
    <w:p>
      <w:pPr>
        <w:pStyle w:val="Style17"/>
        <w:keepNext w:val="0"/>
        <w:keepLines w:val="0"/>
        <w:framePr w:w="4282" w:h="3178" w:wrap="none" w:vAnchor="text" w:hAnchor="page" w:x="7083" w:y="2881"/>
        <w:widowControl w:val="0"/>
        <w:numPr>
          <w:ilvl w:val="0"/>
          <w:numId w:val="1"/>
        </w:numPr>
        <w:shd w:val="clear" w:color="auto" w:fill="auto"/>
        <w:tabs>
          <w:tab w:pos="21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специалист-эксперт отдела контроля закупок и антимонопольного контроля органов власти Смоленского УФАС России;</w:t>
      </w:r>
    </w:p>
    <w:p>
      <w:pPr>
        <w:pStyle w:val="Style17"/>
        <w:keepNext w:val="0"/>
        <w:keepLines w:val="0"/>
        <w:framePr w:w="4282" w:h="3178" w:wrap="none" w:vAnchor="text" w:hAnchor="page" w:x="7083" w:y="2881"/>
        <w:widowControl w:val="0"/>
        <w:numPr>
          <w:ilvl w:val="0"/>
          <w:numId w:val="1"/>
        </w:numPr>
        <w:shd w:val="clear" w:color="auto" w:fill="auto"/>
        <w:tabs>
          <w:tab w:pos="21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специалист-эксперт отдела контроля закупок и антимонопольного контроля органов власти Смоленского УФАС России;</w:t>
      </w:r>
    </w:p>
    <w:p>
      <w:pPr>
        <w:pStyle w:val="Style17"/>
        <w:keepNext w:val="0"/>
        <w:keepLines w:val="0"/>
        <w:framePr w:w="10248" w:h="1373" w:wrap="none" w:vAnchor="text" w:hAnchor="page" w:x="1098" w:y="6337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в дистанционном режиме представителей:</w:t>
      </w:r>
    </w:p>
    <w:p>
      <w:pPr>
        <w:pStyle w:val="Style17"/>
        <w:keepNext w:val="0"/>
        <w:keepLines w:val="0"/>
        <w:framePr w:w="10248" w:h="1373" w:wrap="none" w:vAnchor="text" w:hAnchor="page" w:x="1098" w:y="6337"/>
        <w:widowControl w:val="0"/>
        <w:shd w:val="clear" w:color="auto" w:fill="auto"/>
        <w:bidi w:val="0"/>
        <w:spacing w:before="0" w:after="16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заказчика: Падериной А.Ю. (доверенность № б/н от 21.05.2024), Деревцовой М.А.</w:t>
      </w:r>
    </w:p>
    <w:p>
      <w:pPr>
        <w:pStyle w:val="Style23"/>
        <w:keepNext/>
        <w:keepLines/>
        <w:framePr w:w="10248" w:h="1373" w:wrap="none" w:vAnchor="text" w:hAnchor="page" w:x="1098" w:y="633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10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0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536" w:bottom="1216" w:left="107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(доверенность № б/н от 09.01.2024);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ответчика: Мартыненко Н.А. (доверенность № б/н от 23.09.2024);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уполномоченного органа: Скворцовой А.В. (доверенность исх. № б/н от 19.02.2024);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в соответствии с пунктом 2 постановления Правительства Российской Федерации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Федерации, пунктами 6.1.9, 7.7-7.8 Положения о территориальном органе Федеральной антимонопольной службы, утвержденного приказом ФАС России от 23.07.2015 № 649/15, статьями 99 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Закон), приказом ФАС России от 11.02.2014 № 75/14, приказом Смоленского УФАС России от 20.08.2024 №117/24, в дистанционном режиме жалобу ООО «АПгрейт» (далее также Заявитель) и проведя внеплановую проверку,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Смоленское УФАС России 17.09.2024 поступила жалоба ООО «АПгрейт», согласно которой Заказчиком при проведении электронного аукциона: «Поставка аппарата искусственной вентиляции легких, транспортного с принадлежностями для обеспечения нужд ОГБУЗ «Смоленский областной онкологический клинический диспансер» и оказание услуг по установке, монтажу, вводу в эксплуатацию товара, инструктажу персонала получателя работе с товаром» (извещение №0163200000324005464) были допущены нарушения Закона, а именно под установленные технические характеристики закупаемого товара соответствует товар единственного производителя - «НагпШоп Месйса! АСг, модель - НагпШоп - Т1», что приводит к ограничению количества участников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Государственным заказчиком по данному электронному аукциону является Министерство здравоохранения Смоленской области (далее - Заказчик), уполномоченным органом - Главное управление Смоленской области по регулированию контрактной системы (далее - уполномоченный орган).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представил письменные возражения по существу жалобы, с доводами жалобы не согласился.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момент рассмотрения жалобы контракт Заказчиком не заключен.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результате изучения представленных документов, рассмотрения доводов жалобы, пояснений сторон, Комиссия установила следующее.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09.09.2024 уполномоченным органом на официальном сайте единой информационной системы в сфере закупок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шшшхакнрктдоу.ш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размещено Извещение №0163200000324005464 о проведении электронного аукциона.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(далее - НМЦК) - 6 200 000.00 руб.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20.09.2024 №ИЭА1 на участие в закупке не было подано ни одной заявки участниками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3 части 1 статьи 3 Закона закупка товара, работы, услуги для обеспечения государственных или муниципальных нужд (далее - закупка) - совокупность действий, осуществляемых в установленном Законом порядке заказчиком и направленных на обеспечение государственных или муниципальных нужд.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700" w:right="522" w:bottom="1326" w:left="110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 статьи 49 Закона электронный аукцион начинается с размещения в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«м» - «п» пункта 1, подпунктами «а» - «в» пункта 2, пунктом 5 части 1 статьи 43 Закона. Заявка также может содержать информацию и документы, предусмотренные подпунктом «д» пункта 2 части 1 статьи 43 Закона.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5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5 статьи 23 Закона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6 статьи 23 Закона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- Правила формирования) и Правила использования каталога товаров, работ, услуг для обеспечения государственных и муниципальных нужд (далее - Правила использования), утверждены постановлением Правительства РФ от 08.02.2017 № 145 (далее - Постановление №145).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2 Правил формирования под каталогом товаров, работ, услуг для обеспечения государственных и муниципальных нужд (далее - каталог) понимается систематизированный перечень товаров, работ, услуг, закупаемых для обеспечения государственных и муниципальных нужд, сформированный на основе Общероссийского классификатора продукции по видам экономической деятельности (ОКПД2) ОК 034-2014 и включающий в себя информацию в соответствии с Правилами.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12 Правил формирования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(ОКПД2) ОК 034-2014.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19 Правил формирования в позиции каталога в соответствии со статьей 33 Закона может включаться дополнительная информация о конкретных товарах, работах, услугах, в том числе информация о характеристиках таких товаров, их производителях, торговых наименованиях, наименованиях мест происхождения товаров, ценах за единицу количества товара, объема работы, услуги и (или) ценах за единицу измерения количества товара, объема работы, услуги, условиях поставки товаров, выполнения работ, оказания услуг. Указанная информация формируется в том числе производителями и (или) поставщиками (подрядчиками, исполнителями). Основания и порядок формирования и включения такой информации в каталог определяются уполномоченным органом по 2024-4335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согласованию с Федеральной антимонопольной службой.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подпунктом «б» пункта 2 Правил использования каталог используется заказчиками, среди прочего, в целях описания объектов закупки, которое включается в извещение об осуществлении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подпунктом «в» пункта 4 Правил использования заказчики обязаны применять информацию, включенную в позицию каталога в соответствии с подпунктами «б» - «г» и «е» - «з» пункта 10 Правил формирования,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информацию относительно описания товара, работы, услуги (при наличии такого описания в позиции).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7 Правил использования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Закона. При проведении предусмотренных Законом электронных процедур, закрытых электронных процедур характеристики объекта закупки, предусмотренные пунктом 1 части 1 статьи 33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Закона соответственно. 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034-2014.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части 2 статьи 42 Закона извещение об осуществлении закупки, если иное не предусмотрено Законом, должно содержать описание объекта закупки в соответствии со статьей 33 Закона.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пунктам 1, 2 части 1 статьи 33 Закона заказчик в случаях, предусмотренных Законом, при описании объекта закупки должен руководствоваться следующими правилами: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 (пункт 1);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2" w:val="left"/>
        </w:tabs>
        <w:bidi w:val="0"/>
        <w:spacing w:before="0" w:after="0" w:line="276" w:lineRule="auto"/>
        <w:ind w:left="0" w:right="0" w:firstLine="720"/>
        <w:jc w:val="both"/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700" w:right="534" w:bottom="798" w:left="1099" w:header="0" w:footer="370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2024-4335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 (пункт 2).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2 статьи 33 Закона описание объекта закупки в соответствии с требованиями, указанными в части 1 данной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Объектом рассматриваемой закупки является поставка аппарата искусственной вентиляции легких, транспортного с принадлежностями, оказание услуг по установке, монтажу, вводу в эксплуатацию товара, инструктажу персонала получателя работе с товаром.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объекта закупки содержится в приложении к Извещению (далее - Техническое задание).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Технического задания следует, что Заказчиком закупается «Аппарат искусственной вентиляции легких с электроприводом для транспортировки пациентов» (код позиции КТРУ 32.50.21.122-00000013).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сведениям, размещенным в каталоге товаров, работ, услуг для обеспечения государственных и муниципальных нужд на сайте единой информационной системы включен в каталог - 20.03.2019; обязателен к применению с 01.07.2019. В разделе «Описание товара, работы, услуги» в отношении данного кода КТРУ технические характеристики не установлены.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Проанализировав изложенное выше, Комиссия отмечает, что поскольку в каталоге по позиции КТРУ не содержит требуемые характеристики, в соответствии с требованиями пункта 7 Правил использования, описание должно осуществляться в учетом требований статьи 33 Закона.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таких обстоятельствах, Заказчику при формировании описания объекта закупки в рамках Закона были предоставлены полномочия по самостоятельному определению параметров и характеристик товара, в наибольшей степени удовлетворяющих его потребности.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Техническом задании содержатся технические, качественные, функциональные характеристики закупаемого товара; указание на товарный знак в Извещении и Техническом задании отсутствует.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пояснениям Заказчика, все установленные характеристики к приобретаемому товару соответствуют его потребностям и обусловлены спецификой работы Заказчика, были получены три коммерческих предложения, содержащие предложение о поставке товаров двух разных производителей.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отмечает, что основной целью осуществления закупок в соответствии с законодательством о контрактной системе является приобретение качественных товаров (работ, услуг), характеристики и потребительские свойства которых отвечают действительным потребностям Заказчика.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Кроме того, из представленных документов, сведений, размещенных в открытом доступе, следует, что техническим характеристикам требуемого к поставке оборудования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соответствует товар разных производителей: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аппарат искусственной вентиляции легких Напй11оп-Т1;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аппарат для искусственной вентиляции легких для детей, взрослых Ве11ау1§1а 1000.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Доказательств обратного Заявителем представлено не было.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учетом изложенного выше, довод жалобы Заявителя не находит своего подтверждения.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изложенного и руководствуясь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Смоленского УФАС России по контролю в сфере закупок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Общества с ограниченной ответственностью «АПгрейт» на положения Извещения государственного заказчика - Министерства здравоохранения Смоленской области, уполномоченного органа - Главного управления Смоленской области по регулированию контрактной системы при проведении электронного аукциона: «Поставка аппарата искусственной вентиляции легких, транспортного с принадлежностями для обеспечения нужд ОГБУЗ «Смоленский областной онкологический клинический диспансер» и оказание услуг по установке, монтажу, вводу в эксплуатацию товара, инструктажу персонала получателя работе с товаром» (извещение №0163200000324005464) необоснованной.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9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Заместитель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leader="underscore" w:pos="6442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председателя Комиссии </w:t>
        <w:tab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</w:r>
    </w:p>
    <w:sectPr>
      <w:headerReference w:type="default" r:id="rId12"/>
      <w:footerReference w:type="default" r:id="rId13"/>
      <w:footnotePr>
        <w:pos w:val="pageBottom"/>
        <w:numFmt w:val="decimal"/>
        <w:numRestart w:val="continuous"/>
      </w:footnotePr>
      <w:pgSz w:w="11900" w:h="16840"/>
      <w:pgMar w:top="1700" w:right="526" w:bottom="1326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3255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2024-4335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pt;margin-top:776.20000000000005pt;width:50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2024-4335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10016490</wp:posOffset>
              </wp:positionV>
              <wp:extent cx="643255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2024-4335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6.75pt;margin-top:788.70000000000005pt;width:50.6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2024-4335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10016490</wp:posOffset>
              </wp:positionV>
              <wp:extent cx="643255" cy="10033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2024-4335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56.75pt;margin-top:788.70000000000005pt;width:50.64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2024-4335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762635</wp:posOffset>
              </wp:positionV>
              <wp:extent cx="64135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309.pt;margin-top:60.050000000000004pt;width:5.0499999999999998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762635</wp:posOffset>
              </wp:positionV>
              <wp:extent cx="54610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10000000000002pt;margin-top:60.050000000000004pt;width:4.2999999999999998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762635</wp:posOffset>
              </wp:positionV>
              <wp:extent cx="64135" cy="10033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9.pt;margin-top:60.050000000000004pt;width:5.0499999999999998pt;height:7.9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6294"/>
      <w:sz w:val="16"/>
      <w:szCs w:val="16"/>
      <w:u w:val="none"/>
    </w:rPr>
  </w:style>
  <w:style w:type="character" w:customStyle="1" w:styleId="CharStyle9">
    <w:name w:val="Основной текст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0">
    <w:name w:val="Заголовок №3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4">
    <w:name w:val="Заголовок №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line="300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6294"/>
      <w:sz w:val="16"/>
      <w:szCs w:val="16"/>
      <w:u w:val="none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auto"/>
      <w:spacing w:after="220" w:line="25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9">
    <w:name w:val="Заголовок №3"/>
    <w:basedOn w:val="Normal"/>
    <w:link w:val="CharStyle20"/>
    <w:pPr>
      <w:widowControl w:val="0"/>
      <w:shd w:val="clear" w:color="auto" w:fill="auto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auto"/>
      <w:spacing w:after="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header" Target="header2.xml"/><Relationship Id="rId11" Type="http://schemas.openxmlformats.org/officeDocument/2006/relationships/footer" Target="footer3.xml"/><Relationship Id="rId12" Type="http://schemas.openxmlformats.org/officeDocument/2006/relationships/header" Target="header3.xml"/><Relationship Id="rId13" Type="http://schemas.openxmlformats.org/officeDocument/2006/relationships/footer" Target="footer4.xml"/></Relationships>
</file>