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p>
      <w:pPr>
        <w:pStyle w:val="Style8"/>
        <w:keepNext w:val="0"/>
        <w:keepLines w:val="0"/>
        <w:widowControl w:val="0"/>
        <w:shd w:val="clear" w:color="auto" w:fill="auto"/>
        <w:bidi w:val="0"/>
        <w:spacing w:before="0" w:after="0" w:line="211" w:lineRule="auto"/>
        <w:ind w:left="0" w:right="0" w:firstLine="0"/>
        <w:jc w:val="left"/>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1124" w:right="1890" w:bottom="622" w:left="1601" w:header="0" w:footer="3" w:gutter="0"/>
          <w:pgNumType w:start="1"/>
          <w:cols w:num="2" w:space="720" w:equalWidth="0">
            <w:col w:w="3221" w:space="1589"/>
            <w:col w:w="3600"/>
          </w:cols>
          <w:noEndnote/>
          <w:titlePg/>
          <w:rtlGutter w:val="0"/>
          <w:docGrid w:linePitch="360"/>
        </w:sectPr>
      </w:pPr>
      <w:r>
        <w:rPr>
          <w:color w:val="000000"/>
          <w:spacing w:val="0"/>
          <w:w w:val="100"/>
          <w:position w:val="0"/>
          <w:shd w:val="clear" w:color="auto" w:fill="auto"/>
          <w:lang w:val="ru-RU" w:eastAsia="ru-RU" w:bidi="ru-RU"/>
        </w:rPr>
        <w:t>ООО «Лаборатория Инсепта» т8ерЫаЪ@тай.ги</w:t>
      </w:r>
    </w:p>
    <w:p>
      <w:pPr>
        <w:widowControl w:val="0"/>
        <w:spacing w:line="60" w:lineRule="exact"/>
        <w:rPr>
          <w:sz w:val="5"/>
          <w:szCs w:val="5"/>
        </w:rPr>
      </w:pPr>
    </w:p>
    <w:p>
      <w:pPr>
        <w:widowControl w:val="0"/>
        <w:spacing w:line="1" w:lineRule="exact"/>
        <w:sectPr>
          <w:footnotePr>
            <w:pos w:val="pageBottom"/>
            <w:numFmt w:val="decimal"/>
            <w:numRestart w:val="continuous"/>
          </w:footnotePr>
          <w:type w:val="continuous"/>
          <w:pgSz w:w="11900" w:h="16840"/>
          <w:pgMar w:top="1040" w:right="0" w:bottom="906" w:left="0" w:header="0" w:footer="3" w:gutter="0"/>
          <w:cols w:space="720"/>
          <w:noEndnote/>
          <w:rtlGutter w:val="0"/>
          <w:docGrid w:linePitch="360"/>
        </w:sectPr>
      </w:pPr>
    </w:p>
    <w:p>
      <w:pPr>
        <w:widowControl w:val="0"/>
        <w:spacing w:line="1" w:lineRule="exact"/>
      </w:pPr>
      <w:r>
        <mc:AlternateContent>
          <mc:Choice Requires="wps">
            <w:drawing>
              <wp:anchor distT="0" distB="289560" distL="114300" distR="114300" simplePos="0" relativeHeight="125829378" behindDoc="0" locked="0" layoutInCell="1" allowOverlap="1">
                <wp:simplePos x="0" y="0"/>
                <wp:positionH relativeFrom="page">
                  <wp:posOffset>1595755</wp:posOffset>
                </wp:positionH>
                <wp:positionV relativeFrom="paragraph">
                  <wp:posOffset>12700</wp:posOffset>
                </wp:positionV>
                <wp:extent cx="895985" cy="152400"/>
                <wp:wrapSquare wrapText="right"/>
                <wp:docPr id="7" name="Shape 7"/>
                <a:graphic xmlns:a="http://schemas.openxmlformats.org/drawingml/2006/main">
                  <a:graphicData uri="http://schemas.microsoft.com/office/word/2010/wordprocessingShape">
                    <wps:wsp>
                      <wps:cNvSpPr txBox="1"/>
                      <wps:spPr>
                        <a:xfrm>
                          <a:ext cx="895985"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УПРАВЛЕНИЕ</w:t>
                            </w:r>
                          </w:p>
                        </w:txbxContent>
                      </wps:txbx>
                      <wps:bodyPr wrap="none" lIns="0" tIns="0" rIns="0" bIns="0">
                        <a:noAutoFit/>
                      </wps:bodyPr>
                    </wps:wsp>
                  </a:graphicData>
                </a:graphic>
              </wp:anchor>
            </w:drawing>
          </mc:Choice>
          <mc:Fallback>
            <w:pict>
              <v:shape id="_x0000_s1033" type="#_x0000_t202" style="position:absolute;margin-left:125.65000000000001pt;margin-top:1.pt;width:70.549999999999997pt;height:12.pt;z-index:-125829375;mso-wrap-distance-left:9.pt;mso-wrap-distance-right:9.pt;mso-wrap-distance-bottom:22.80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УПРАВЛЕНИЕ</w:t>
                      </w:r>
                    </w:p>
                  </w:txbxContent>
                </v:textbox>
                <w10:wrap type="square" side="right" anchorx="page"/>
              </v:shape>
            </w:pict>
          </mc:Fallback>
        </mc:AlternateContent>
      </w:r>
      <w:r>
        <mc:AlternateContent>
          <mc:Choice Requires="wps">
            <w:drawing>
              <wp:anchor distT="289560" distB="0" distL="202565" distR="199390" simplePos="0" relativeHeight="125829380" behindDoc="0" locked="0" layoutInCell="1" allowOverlap="1">
                <wp:simplePos x="0" y="0"/>
                <wp:positionH relativeFrom="page">
                  <wp:posOffset>1684020</wp:posOffset>
                </wp:positionH>
                <wp:positionV relativeFrom="paragraph">
                  <wp:posOffset>302260</wp:posOffset>
                </wp:positionV>
                <wp:extent cx="722630" cy="152400"/>
                <wp:wrapSquare wrapText="right"/>
                <wp:docPr id="9" name="Shape 9"/>
                <a:graphic xmlns:a="http://schemas.openxmlformats.org/drawingml/2006/main">
                  <a:graphicData uri="http://schemas.microsoft.com/office/word/2010/wordprocessingShape">
                    <wps:wsp>
                      <wps:cNvSpPr txBox="1"/>
                      <wps:spPr>
                        <a:xfrm>
                          <a:ext cx="72263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по г. Москве</w:t>
                            </w:r>
                          </w:p>
                        </w:txbxContent>
                      </wps:txbx>
                      <wps:bodyPr wrap="none" lIns="0" tIns="0" rIns="0" bIns="0">
                        <a:noAutoFit/>
                      </wps:bodyPr>
                    </wps:wsp>
                  </a:graphicData>
                </a:graphic>
              </wp:anchor>
            </w:drawing>
          </mc:Choice>
          <mc:Fallback>
            <w:pict>
              <v:shape id="_x0000_s1035" type="#_x0000_t202" style="position:absolute;margin-left:132.59999999999999pt;margin-top:23.800000000000001pt;width:56.899999999999999pt;height:12.pt;z-index:-125829373;mso-wrap-distance-left:15.950000000000001pt;mso-wrap-distance-top:22.800000000000001pt;mso-wrap-distance-right:15.70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по г. Москве</w:t>
                      </w:r>
                    </w:p>
                  </w:txbxContent>
                </v:textbox>
                <w10:wrap type="square" side="right" anchorx="page"/>
              </v:shape>
            </w:pict>
          </mc:Fallback>
        </mc:AlternateContent>
      </w:r>
      <w:r>
        <mc:AlternateContent>
          <mc:Choice Requires="wps">
            <w:drawing>
              <wp:anchor distT="25400" distB="0" distL="114300" distR="114300" simplePos="0" relativeHeight="125829382" behindDoc="0" locked="0" layoutInCell="1" allowOverlap="1">
                <wp:simplePos x="0" y="0"/>
                <wp:positionH relativeFrom="page">
                  <wp:posOffset>1260475</wp:posOffset>
                </wp:positionH>
                <wp:positionV relativeFrom="paragraph">
                  <wp:posOffset>551815</wp:posOffset>
                </wp:positionV>
                <wp:extent cx="1557655" cy="292735"/>
                <wp:wrapTopAndBottom/>
                <wp:docPr id="11" name="Shape 11"/>
                <a:graphic xmlns:a="http://schemas.openxmlformats.org/drawingml/2006/main">
                  <a:graphicData uri="http://schemas.microsoft.com/office/word/2010/wordprocessingShape">
                    <wps:wsp>
                      <wps:cNvSpPr txBox="1"/>
                      <wps:spPr>
                        <a:xfrm>
                          <a:ext cx="1557655" cy="2927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r>
                          </w:p>
                        </w:txbxContent>
                      </wps:txbx>
                      <wps:bodyPr lIns="0" tIns="0" rIns="0" bIns="0">
                        <a:noAutoFit/>
                      </wps:bodyPr>
                    </wps:wsp>
                  </a:graphicData>
                </a:graphic>
              </wp:anchor>
            </w:drawing>
          </mc:Choice>
          <mc:Fallback>
            <w:pict>
              <v:shape id="_x0000_s1037" type="#_x0000_t202" style="position:absolute;margin-left:99.25pt;margin-top:43.450000000000003pt;width:122.65000000000001pt;height:23.050000000000001pt;z-index:-125829371;mso-wrap-distance-left:9.pt;mso-wrap-distance-top:2.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r>
                    </w:p>
                  </w:txbxContent>
                </v:textbox>
                <w10:wrap type="topAndBottom" anchorx="page"/>
              </v:shape>
            </w:pict>
          </mc:Fallback>
        </mc:AlternateContent>
      </w:r>
    </w:p>
    <w:p>
      <w:pPr>
        <w:pStyle w:val="Style8"/>
        <w:keepNext w:val="0"/>
        <w:keepLines w:val="0"/>
        <w:widowControl w:val="0"/>
        <w:shd w:val="clear" w:color="auto" w:fill="auto"/>
        <w:bidi w:val="0"/>
        <w:spacing w:before="0" w:after="100" w:line="211" w:lineRule="auto"/>
        <w:ind w:left="2220" w:right="0" w:firstLine="20"/>
        <w:jc w:val="left"/>
      </w:pPr>
      <w:r>
        <w:rPr>
          <w:color w:val="000000"/>
          <w:spacing w:val="0"/>
          <w:w w:val="100"/>
          <w:position w:val="0"/>
          <w:shd w:val="clear" w:color="auto" w:fill="auto"/>
          <w:lang w:val="ru-RU" w:eastAsia="ru-RU" w:bidi="ru-RU"/>
        </w:rPr>
        <w:t>ГКУ АЗ (КС) ДЗМ агк8@хдгамто8.ги</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тел. (495) 784-75-05, факс (495) 607-49-29</w:t>
        <w:br/>
        <w:t xml:space="preserve">факс (495) 607-42-92, </w:t>
      </w:r>
      <w:r>
        <w:rPr>
          <w:spacing w:val="0"/>
          <w:w w:val="100"/>
          <w:position w:val="0"/>
          <w:u w:val="single"/>
          <w:shd w:val="clear" w:color="auto" w:fill="auto"/>
          <w:lang w:val="ru-RU" w:eastAsia="ru-RU" w:bidi="ru-RU"/>
        </w:rPr>
        <w:t>е-тай: 1о77@Еа8.еоу.ги</w:t>
      </w:r>
    </w:p>
    <w:p>
      <w:pPr>
        <w:pStyle w:val="Style12"/>
        <w:keepNext/>
        <w:keepLines/>
        <w:widowControl w:val="0"/>
        <w:shd w:val="clear" w:color="auto" w:fill="auto"/>
        <w:tabs>
          <w:tab w:pos="2003" w:val="left"/>
        </w:tabs>
        <w:bidi w:val="0"/>
        <w:spacing w:before="0" w:line="240" w:lineRule="auto"/>
        <w:ind w:left="0" w:right="0"/>
        <w:jc w:val="left"/>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27.09.2024</w:t>
      </w:r>
      <w:r>
        <w:fldChar w:fldCharType="end"/>
      </w:r>
      <w:r>
        <w:rPr>
          <w:color w:val="000000"/>
          <w:spacing w:val="0"/>
          <w:w w:val="100"/>
          <w:position w:val="0"/>
          <w:shd w:val="clear" w:color="auto" w:fill="auto"/>
          <w:lang w:val="ru-RU" w:eastAsia="ru-RU" w:bidi="ru-RU"/>
        </w:rPr>
        <w:tab/>
        <w:t>№</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39882/24</w:t>
      </w:r>
      <w:bookmarkEnd w:id="0"/>
    </w:p>
    <w:p>
      <w:pPr>
        <w:pStyle w:val="Style2"/>
        <w:keepNext w:val="0"/>
        <w:keepLines w:val="0"/>
        <w:widowControl w:val="0"/>
        <w:shd w:val="clear" w:color="auto" w:fill="auto"/>
        <w:bidi w:val="0"/>
        <w:spacing w:before="0" w:after="1480" w:line="240" w:lineRule="auto"/>
        <w:ind w:left="0" w:right="0" w:firstLine="0"/>
        <w:jc w:val="left"/>
      </w:pPr>
      <w:r>
        <w:rPr>
          <w:spacing w:val="0"/>
          <w:w w:val="100"/>
          <w:position w:val="0"/>
          <w:shd w:val="clear" w:color="auto" w:fill="auto"/>
          <w:lang w:val="ru-RU" w:eastAsia="ru-RU" w:bidi="ru-RU"/>
        </w:rPr>
        <w:t>На№</w:t>
      </w:r>
    </w:p>
    <w:p>
      <w:pPr>
        <w:pStyle w:val="Style8"/>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8"/>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077/06/106-13054/2024 о нарушении</w:t>
        <w:br/>
        <w:t>законодательства о контрактной системе</w:t>
      </w:r>
    </w:p>
    <w:p>
      <w:pPr>
        <w:pStyle w:val="Style8"/>
        <w:keepNext w:val="0"/>
        <w:keepLines w:val="0"/>
        <w:widowControl w:val="0"/>
        <w:shd w:val="clear" w:color="auto" w:fill="auto"/>
        <w:bidi w:val="0"/>
        <w:spacing w:before="0" w:after="0" w:line="240" w:lineRule="auto"/>
        <w:ind w:left="0" w:right="0" w:firstLine="0"/>
        <w:jc w:val="left"/>
      </w:pPr>
      <w:r>
        <mc:AlternateContent>
          <mc:Choice Requires="wps">
            <w:drawing>
              <wp:anchor distT="0" distB="0" distL="114300" distR="114300" simplePos="0" relativeHeight="125829384" behindDoc="0" locked="0" layoutInCell="1" allowOverlap="1">
                <wp:simplePos x="0" y="0"/>
                <wp:positionH relativeFrom="page">
                  <wp:posOffset>6539230</wp:posOffset>
                </wp:positionH>
                <wp:positionV relativeFrom="paragraph">
                  <wp:posOffset>38100</wp:posOffset>
                </wp:positionV>
                <wp:extent cx="646430" cy="201295"/>
                <wp:wrapSquare wrapText="left"/>
                <wp:docPr id="13" name="Shape 13"/>
                <a:graphic xmlns:a="http://schemas.openxmlformats.org/drawingml/2006/main">
                  <a:graphicData uri="http://schemas.microsoft.com/office/word/2010/wordprocessingShape">
                    <wps:wsp>
                      <wps:cNvSpPr txBox="1"/>
                      <wps:spPr>
                        <a:xfrm>
                          <a:ext cx="646430" cy="20129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Москва</w:t>
                            </w:r>
                          </w:p>
                        </w:txbxContent>
                      </wps:txbx>
                      <wps:bodyPr wrap="none" lIns="0" tIns="0" rIns="0" bIns="0">
                        <a:noAutoFit/>
                      </wps:bodyPr>
                    </wps:wsp>
                  </a:graphicData>
                </a:graphic>
              </wp:anchor>
            </w:drawing>
          </mc:Choice>
          <mc:Fallback>
            <w:pict>
              <v:shape id="_x0000_s1039" type="#_x0000_t202" style="position:absolute;margin-left:514.89999999999998pt;margin-top:3.pt;width:50.899999999999999pt;height:15.85pt;z-index:-125829369;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Москва</w:t>
                      </w:r>
                    </w:p>
                  </w:txbxContent>
                </v:textbox>
                <w10:wrap type="square" side="left" anchorx="page"/>
              </v:shape>
            </w:pict>
          </mc:Fallback>
        </mc:AlternateContent>
      </w:r>
      <w:r>
        <w:rPr>
          <w:b/>
          <w:bCs/>
          <w:color w:val="000000"/>
          <w:spacing w:val="0"/>
          <w:w w:val="100"/>
          <w:position w:val="0"/>
          <w:shd w:val="clear" w:color="auto" w:fill="auto"/>
          <w:lang w:val="ru-RU" w:eastAsia="ru-RU" w:bidi="ru-RU"/>
        </w:rPr>
        <w:t>24.09.2024</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Н.А. Узкого,</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Главного государственного инспектора отдела обжалования государственных закупок А.А. Кутейникова,</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М.О. Мацневой,</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представителей:</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ООО «Лаборатория Инсепта»: Титовой И.Ю. (по доверенности № б/н от 29.06.2023);</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ГКУ АЗ (КС) ДЗМ: Курбанова М.М. (по довеоенности № 65 от 04.09.2024), Ефтени Л.Г. (по доверенности № 2 от 09.01.2024);</w:t>
      </w:r>
    </w:p>
    <w:p>
      <w:pPr>
        <w:pStyle w:val="Style8"/>
        <w:keepNext w:val="0"/>
        <w:keepLines w:val="0"/>
        <w:widowControl w:val="0"/>
        <w:shd w:val="clear" w:color="auto" w:fill="auto"/>
        <w:bidi w:val="0"/>
        <w:spacing w:before="0" w:after="360" w:line="240" w:lineRule="auto"/>
        <w:ind w:left="0" w:right="0" w:firstLine="700"/>
        <w:jc w:val="both"/>
      </w:pPr>
      <w:r>
        <w:rPr>
          <w:color w:val="000000"/>
          <w:spacing w:val="0"/>
          <w:w w:val="100"/>
          <w:position w:val="0"/>
          <w:shd w:val="clear" w:color="auto" w:fill="auto"/>
          <w:lang w:val="ru-RU" w:eastAsia="ru-RU" w:bidi="ru-RU"/>
        </w:rPr>
        <w:t>рассмотрев жалобу ООО «Лаборатория Инсепта» (далее — Заявитель) на действия ГКУ АЗ (КС) ДЗМ (далее — Заказчик) при проведении запроса котировок в электронной форме на право заключения контракта на поставку расходных материалов (средство дезинфицирующее) для обеспечения граждан, имеющих право на получение государственной социальной помощи в городе Москве (ВК2024-216) (Закупка №0873200009824002145) (далее - запрос котировок) в соответствии с Федеральным законом от 05.04.2013 №44-ФЗ «О контрактной системе в сфере</w:t>
      </w:r>
    </w:p>
    <w:p>
      <w:pPr>
        <w:pStyle w:val="Style15"/>
        <w:keepNext/>
        <w:keepLines/>
        <w:widowControl w:val="0"/>
        <w:shd w:val="clear" w:color="auto" w:fill="auto"/>
        <w:bidi w:val="0"/>
        <w:spacing w:before="0" w:line="240" w:lineRule="auto"/>
        <w:ind w:left="0" w:right="0"/>
        <w:jc w:val="left"/>
      </w:pPr>
      <w:bookmarkStart w:id="2" w:name="bookmark2"/>
      <w:r>
        <w:rPr>
          <w:color w:val="000000"/>
          <w:spacing w:val="0"/>
          <w:w w:val="100"/>
          <w:position w:val="0"/>
          <w:shd w:val="clear" w:color="auto" w:fill="auto"/>
          <w:lang w:val="ru-RU" w:eastAsia="ru-RU" w:bidi="ru-RU"/>
        </w:rPr>
        <w:t>||||||||||||||||||||||||||||</w:t>
      </w:r>
      <w:bookmarkEnd w:id="2"/>
    </w:p>
    <w:p>
      <w:pPr>
        <w:pStyle w:val="Style8"/>
        <w:keepNext w:val="0"/>
        <w:keepLines w:val="0"/>
        <w:widowControl w:val="0"/>
        <w:shd w:val="clear" w:color="auto" w:fill="auto"/>
        <w:bidi w:val="0"/>
        <w:spacing w:before="0" w:after="500" w:line="240" w:lineRule="auto"/>
        <w:ind w:left="0" w:right="0" w:firstLine="0"/>
        <w:jc w:val="both"/>
      </w:pPr>
      <w:r>
        <w:rPr>
          <w:color w:val="000000"/>
          <w:spacing w:val="0"/>
          <w:w w:val="100"/>
          <w:position w:val="0"/>
          <w:shd w:val="clear" w:color="auto" w:fill="auto"/>
          <w:lang w:val="ru-RU" w:eastAsia="ru-RU" w:bidi="ru-RU"/>
        </w:rPr>
        <w:t>закупок товаров, работ, услуг для обеспечения государственных и муниципальных нужд» (далее - Закон о контрактной системе),</w:t>
      </w:r>
    </w:p>
    <w:p>
      <w:pPr>
        <w:pStyle w:val="Style8"/>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запроса котировок.</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заседание Комиссии Управления Заказчиком представлены документы и сведения, запрашиваемые посредством функционала Единой информационной системы.</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Комиссия Управления установила следующее.</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п.1 ч.2 ст.42 Закона о контрактной системе извещение об осуществлении закупки должно содержать описание объекта закупки в соответствии со ст. 33 Закона о контрактной системе.</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Ч.1 ст.33 Закона о контрактной системе установлено, что Заказчик в случаях, предусмотренных Законом о контрактной системе, при описании объекта закупки должен руководствоваться следующими правилами:</w:t>
      </w:r>
    </w:p>
    <w:p>
      <w:pPr>
        <w:pStyle w:val="Style8"/>
        <w:keepNext w:val="0"/>
        <w:keepLines w:val="0"/>
        <w:widowControl w:val="0"/>
        <w:numPr>
          <w:ilvl w:val="0"/>
          <w:numId w:val="1"/>
        </w:numPr>
        <w:shd w:val="clear" w:color="auto" w:fill="auto"/>
        <w:tabs>
          <w:tab w:pos="111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8"/>
        <w:keepNext w:val="0"/>
        <w:keepLines w:val="0"/>
        <w:widowControl w:val="0"/>
        <w:numPr>
          <w:ilvl w:val="0"/>
          <w:numId w:val="3"/>
        </w:numPr>
        <w:shd w:val="clear" w:color="auto" w:fill="auto"/>
        <w:tabs>
          <w:tab w:pos="110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8"/>
        <w:keepNext w:val="0"/>
        <w:keepLines w:val="0"/>
        <w:widowControl w:val="0"/>
        <w:numPr>
          <w:ilvl w:val="0"/>
          <w:numId w:val="3"/>
        </w:numPr>
        <w:shd w:val="clear" w:color="auto" w:fill="auto"/>
        <w:tabs>
          <w:tab w:pos="110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8"/>
        <w:keepNext w:val="0"/>
        <w:keepLines w:val="0"/>
        <w:widowControl w:val="0"/>
        <w:numPr>
          <w:ilvl w:val="0"/>
          <w:numId w:val="3"/>
        </w:numPr>
        <w:shd w:val="clear" w:color="auto" w:fill="auto"/>
        <w:tabs>
          <w:tab w:pos="110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8"/>
        <w:keepNext w:val="0"/>
        <w:keepLines w:val="0"/>
        <w:widowControl w:val="0"/>
        <w:numPr>
          <w:ilvl w:val="0"/>
          <w:numId w:val="3"/>
        </w:numPr>
        <w:shd w:val="clear" w:color="auto" w:fill="auto"/>
        <w:tabs>
          <w:tab w:pos="109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8"/>
        <w:keepNext w:val="0"/>
        <w:keepLines w:val="0"/>
        <w:widowControl w:val="0"/>
        <w:numPr>
          <w:ilvl w:val="0"/>
          <w:numId w:val="1"/>
        </w:numPr>
        <w:shd w:val="clear" w:color="auto" w:fill="auto"/>
        <w:tabs>
          <w:tab w:pos="1112" w:val="left"/>
        </w:tabs>
        <w:bidi w:val="0"/>
        <w:spacing w:before="0" w:after="360" w:line="240" w:lineRule="auto"/>
        <w:ind w:left="0" w:right="0" w:firstLine="720"/>
        <w:jc w:val="both"/>
        <w:sectPr>
          <w:footnotePr>
            <w:pos w:val="pageBottom"/>
            <w:numFmt w:val="decimal"/>
            <w:numRestart w:val="continuous"/>
          </w:footnotePr>
          <w:type w:val="continuous"/>
          <w:pgSz w:w="11900" w:h="16840"/>
          <w:pgMar w:top="1040" w:right="537" w:bottom="906" w:left="1105" w:header="0" w:footer="3" w:gutter="0"/>
          <w:cols w:space="720"/>
          <w:noEndnote/>
          <w:rtlGutter w:val="0"/>
          <w:docGrid w:linePitch="360"/>
        </w:sectPr>
      </w:pPr>
      <w:r>
        <w:rPr>
          <w:color w:val="000000"/>
          <w:spacing w:val="0"/>
          <w:w w:val="100"/>
          <w:position w:val="0"/>
          <w:shd w:val="clear" w:color="auto" w:fill="auto"/>
          <w:lang w:val="ru-RU" w:eastAsia="ru-RU" w:bidi="ru-RU"/>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w:t>
      </w:r>
    </w:p>
    <w:p>
      <w:pPr>
        <w:pStyle w:val="Style8"/>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ч.2 ст.33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согласно описанию объекта закупки, Заказчиком установлены требования к закупаемому товару «Средство дезинфицирующее» по КТРУ 20.20.14.000-00000005, в том числе:</w:t>
      </w:r>
    </w:p>
    <w:p>
      <w:pPr>
        <w:pStyle w:val="Style8"/>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Товарный знак: СШа$ер1 Р. Допускается поставка эквивалента.</w:t>
      </w:r>
    </w:p>
    <w:p>
      <w:pPr>
        <w:pStyle w:val="Style8"/>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Общее время экспозиции при гигиенической обработке рук: &lt; = 20 с.</w:t>
      </w:r>
    </w:p>
    <w:p>
      <w:pPr>
        <w:pStyle w:val="Style8"/>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Общее время экспозиции при хирургической обработке рук: &lt; = 60 с.</w:t>
      </w:r>
    </w:p>
    <w:p>
      <w:pPr>
        <w:pStyle w:val="Style8"/>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Требования к составу изделия: Функциональные компоненты, смягчающие кожу.</w:t>
      </w:r>
    </w:p>
    <w:p>
      <w:pPr>
        <w:pStyle w:val="Style8"/>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Антимикробная активность: Микобактерии туберкулеза; Легионеллы; Плесневые грибы.</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Согласно доводам жалобы в описании объекта закупки Заказчиком установлены неправомерные требования к закупаемому дезинфицирующему средству, которые не соответствуют инструкции, а именно:</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общее время экспозиции при хирургической обработке в инструкции на дезинфицирующее средство «СиШер! Р» составляет 2 минуты.</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антимикробная активность против легионеллы в инструкции на дезинфицирующее средство «СиШер! Р» отсутствует.</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8"/>
        <w:keepNext w:val="0"/>
        <w:keepLines w:val="0"/>
        <w:widowControl w:val="0"/>
        <w:shd w:val="clear" w:color="auto" w:fill="auto"/>
        <w:bidi w:val="0"/>
        <w:spacing w:before="0" w:after="0" w:line="276" w:lineRule="auto"/>
        <w:ind w:left="0" w:right="0" w:firstLine="720"/>
        <w:jc w:val="both"/>
        <w:rPr>
          <w:sz w:val="22"/>
          <w:szCs w:val="22"/>
        </w:rPr>
        <w:sectPr>
          <w:headerReference w:type="default" r:id="rId9"/>
          <w:footerReference w:type="default" r:id="rId10"/>
          <w:footnotePr>
            <w:pos w:val="pageBottom"/>
            <w:numFmt w:val="decimal"/>
            <w:numRestart w:val="continuous"/>
          </w:footnotePr>
          <w:pgSz w:w="11900" w:h="16840"/>
          <w:pgMar w:top="1162" w:right="551" w:bottom="682" w:left="1097" w:header="0" w:footer="254"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На заседании Комиссии Управления представитель Заказчика пояснил, что экспозиция (обеззараживание) — продолжительность контакта токсического вещества с вредным организмом. В виду чего, под экспозицией понимается время </w:t>
      </w:r>
      <w:r>
        <w:rPr>
          <w:rFonts w:ascii="Cambria" w:eastAsia="Cambria" w:hAnsi="Cambria" w:cs="Cambria"/>
          <w:color w:val="000000"/>
          <w:spacing w:val="0"/>
          <w:w w:val="100"/>
          <w:position w:val="0"/>
          <w:sz w:val="22"/>
          <w:szCs w:val="22"/>
          <w:shd w:val="clear" w:color="auto" w:fill="auto"/>
          <w:lang w:val="ru-RU" w:eastAsia="ru-RU" w:bidi="ru-RU"/>
        </w:rPr>
        <w:t>2024-45209</w:t>
      </w:r>
    </w:p>
    <w:p>
      <w:pPr>
        <w:pStyle w:val="Style8"/>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выдерживания рук во влажном состоянии.</w:t>
      </w:r>
    </w:p>
    <w:p>
      <w:pPr>
        <w:pStyle w:val="Style8"/>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Согласно п.2.2. инструкции к «СШазер! Г» (стр.3) «Обработка рук хирургов: перед применением средства кисти рук и предплечий предварительно тщательно моют теплой проточной водой и мылом в течение двух минут, после чего их высушивают стерильной марлевой салфеткой. Затем на кисти рук наносят средство дважды по 5 мл и втирают его в кожу рук и предплечий (поддерживая руки во влажном состоянии) в течение 1 минуты».</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виду чего, время экспозиции составляет 1 минуту. В связи с чем, требование Технического задания связанные с временем экспозиции при хирургической обработке рук соответствует инструкции дезинфицирующего средства «СШазер! Г».</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отмечает, что в п. 2.2 инструкции на дезинфицирующее средство «СиШер! Г» установлено: «</w:t>
      </w:r>
      <w:r>
        <w:rPr>
          <w:i/>
          <w:iCs/>
          <w:color w:val="000000"/>
          <w:spacing w:val="0"/>
          <w:w w:val="100"/>
          <w:position w:val="0"/>
          <w:shd w:val="clear" w:color="auto" w:fill="auto"/>
          <w:lang w:val="ru-RU" w:eastAsia="ru-RU" w:bidi="ru-RU"/>
        </w:rPr>
        <w:t xml:space="preserve">Обработка рук хирургов: перед применением средства кисти рук и предплечий предварительно тщательно моют теплой проточной водой и мылом в течение двух минут, после чего их высушивают стерильной марлевой салфеткой. Затем на кисти рук наносят средство дважды по 5 мл. и втирают его в кожу рук и предплечий (поддерживая руки во влажном состоянии) в течение 1 минуты. </w:t>
      </w:r>
      <w:r>
        <w:rPr>
          <w:b/>
          <w:bCs/>
          <w:i/>
          <w:iCs/>
          <w:color w:val="000000"/>
          <w:spacing w:val="0"/>
          <w:w w:val="100"/>
          <w:position w:val="0"/>
          <w:shd w:val="clear" w:color="auto" w:fill="auto"/>
          <w:lang w:val="ru-RU" w:eastAsia="ru-RU" w:bidi="ru-RU"/>
        </w:rPr>
        <w:t>Общее время обработки составляет - 2 минуты</w:t>
      </w:r>
      <w:r>
        <w:rPr>
          <w:color w:val="000000"/>
          <w:spacing w:val="0"/>
          <w:w w:val="100"/>
          <w:position w:val="0"/>
          <w:shd w:val="clear" w:color="auto" w:fill="auto"/>
          <w:lang w:val="ru-RU" w:eastAsia="ru-RU" w:bidi="ru-RU"/>
        </w:rPr>
        <w:t xml:space="preserve"> ».</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 Комиссия Управления отмечает, что вышеуказанное значение согласно инструкции на дезинфицирующее средство не соответствует требованию описания объекта закупки, согласно которому «</w:t>
      </w:r>
      <w:r>
        <w:rPr>
          <w:i/>
          <w:iCs/>
          <w:color w:val="000000"/>
          <w:spacing w:val="0"/>
          <w:w w:val="100"/>
          <w:position w:val="0"/>
          <w:shd w:val="clear" w:color="auto" w:fill="auto"/>
          <w:lang w:val="ru-RU" w:eastAsia="ru-RU" w:bidi="ru-RU"/>
        </w:rPr>
        <w:t>Общее время экспозиции при хирургической обработке рук: &lt; = 60 с».</w:t>
      </w:r>
    </w:p>
    <w:p>
      <w:pPr>
        <w:pStyle w:val="Style8"/>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Комиссия Управления отмечает, что при проведении закупок Заказчики описывают объекты закупок, руководствуясь положениями Закона о контрактной системе, при условии, что такие требования не влекут за собой ограничение количества участников закупки.</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этом Комиссия Управления отмечает, что при решении вопроса о выдачи Заказчику предписания об устранении нарушений законодательства о контрактной системе руководствовалась следующим.</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23.09.2024 №ИЗК1 на участие в данной закупочной процедур подано четыре заявки участников, три из которых соответствуют требованиям извещения.</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Также участник с идентификационным номером заявки 1065774 отклонен на следующем основании:</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подпунктом "а" пункта 1 части 3 статьи 50 Федерального Закона от 05.04.2013 г. № 44-ФЗ заявка отклонена по основанию, предусмотренному пунктом 1 части 12 статьи 48 Федерального Закона от 05.04.2013 г. № 44-ФЗ, в связи с несоответствием в заявке на участие в закупке информации и документов требованиям, установленным в извещении об осуществлении закупки, а именно: согласно извещению об осуществлении закупки, заказчику требуется «Средство дезинфицирующее, товарный знак СиШер! Г Допускается поставка эквивалента» с хар актеристиками:</w:t>
      </w:r>
    </w:p>
    <w:p>
      <w:pPr>
        <w:pStyle w:val="Style8"/>
        <w:keepNext w:val="0"/>
        <w:keepLines w:val="0"/>
        <w:widowControl w:val="0"/>
        <w:numPr>
          <w:ilvl w:val="0"/>
          <w:numId w:val="5"/>
        </w:numPr>
        <w:shd w:val="clear" w:color="auto" w:fill="auto"/>
        <w:tabs>
          <w:tab w:pos="848" w:val="left"/>
        </w:tabs>
        <w:bidi w:val="0"/>
        <w:spacing w:before="0" w:after="0" w:line="240" w:lineRule="auto"/>
        <w:ind w:left="0" w:right="0" w:firstLine="620"/>
        <w:jc w:val="both"/>
      </w:pPr>
      <w:r>
        <w:rPr>
          <w:color w:val="000000"/>
          <w:spacing w:val="0"/>
          <w:w w:val="100"/>
          <w:position w:val="0"/>
          <w:shd w:val="clear" w:color="auto" w:fill="auto"/>
          <w:lang w:val="ru-RU" w:eastAsia="ru-RU" w:bidi="ru-RU"/>
        </w:rPr>
        <w:t>Общее время экспозиции при хирургической обработке рук: &lt;= 60 с.,</w:t>
      </w:r>
    </w:p>
    <w:p>
      <w:pPr>
        <w:pStyle w:val="Style8"/>
        <w:keepNext w:val="0"/>
        <w:keepLines w:val="0"/>
        <w:widowControl w:val="0"/>
        <w:numPr>
          <w:ilvl w:val="0"/>
          <w:numId w:val="5"/>
        </w:numPr>
        <w:shd w:val="clear" w:color="auto" w:fill="auto"/>
        <w:tabs>
          <w:tab w:pos="848" w:val="left"/>
        </w:tabs>
        <w:bidi w:val="0"/>
        <w:spacing w:before="0" w:after="0" w:line="240" w:lineRule="auto"/>
        <w:ind w:left="0" w:right="0" w:firstLine="620"/>
        <w:jc w:val="both"/>
      </w:pPr>
      <w:r>
        <w:rPr>
          <w:color w:val="000000"/>
          <w:spacing w:val="0"/>
          <w:w w:val="100"/>
          <w:position w:val="0"/>
          <w:shd w:val="clear" w:color="auto" w:fill="auto"/>
          <w:lang w:val="ru-RU" w:eastAsia="ru-RU" w:bidi="ru-RU"/>
        </w:rPr>
        <w:t>Общее время экспозиции при гигиенической обработке рук: &lt;= 20 с.</w:t>
      </w:r>
    </w:p>
    <w:p>
      <w:pPr>
        <w:pStyle w:val="Style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Участник предлагает к поставке «Средство дезинфицирующее, страна происхождения Российская Федерация» и указывает в структурированной форме заявки следующие значения данных характеристик:</w:t>
      </w:r>
    </w:p>
    <w:p>
      <w:pPr>
        <w:pStyle w:val="Style8"/>
        <w:keepNext w:val="0"/>
        <w:keepLines w:val="0"/>
        <w:widowControl w:val="0"/>
        <w:numPr>
          <w:ilvl w:val="0"/>
          <w:numId w:val="5"/>
        </w:numPr>
        <w:shd w:val="clear" w:color="auto" w:fill="auto"/>
        <w:tabs>
          <w:tab w:pos="837" w:val="left"/>
        </w:tabs>
        <w:bidi w:val="0"/>
        <w:spacing w:before="0" w:after="0" w:line="240" w:lineRule="auto"/>
        <w:ind w:left="0" w:right="0" w:firstLine="600"/>
        <w:jc w:val="both"/>
      </w:pPr>
      <w:r>
        <w:rPr>
          <w:b/>
          <w:bCs/>
          <w:color w:val="000000"/>
          <w:spacing w:val="0"/>
          <w:w w:val="100"/>
          <w:position w:val="0"/>
          <w:shd w:val="clear" w:color="auto" w:fill="auto"/>
          <w:lang w:val="ru-RU" w:eastAsia="ru-RU" w:bidi="ru-RU"/>
        </w:rPr>
        <w:t>Общее время экспозиции при хирургической обработке рук: 90 с.,</w:t>
      </w:r>
    </w:p>
    <w:p>
      <w:pPr>
        <w:pStyle w:val="Style8"/>
        <w:keepNext w:val="0"/>
        <w:keepLines w:val="0"/>
        <w:widowControl w:val="0"/>
        <w:numPr>
          <w:ilvl w:val="0"/>
          <w:numId w:val="5"/>
        </w:numPr>
        <w:shd w:val="clear" w:color="auto" w:fill="auto"/>
        <w:tabs>
          <w:tab w:pos="837" w:val="left"/>
        </w:tabs>
        <w:bidi w:val="0"/>
        <w:spacing w:before="0" w:after="0" w:line="240" w:lineRule="auto"/>
        <w:ind w:left="0" w:right="0" w:firstLine="600"/>
        <w:jc w:val="both"/>
      </w:pPr>
      <w:r>
        <w:rPr>
          <w:b/>
          <w:bCs/>
          <w:color w:val="000000"/>
          <w:spacing w:val="0"/>
          <w:w w:val="100"/>
          <w:position w:val="0"/>
          <w:shd w:val="clear" w:color="auto" w:fill="auto"/>
          <w:lang w:val="ru-RU" w:eastAsia="ru-RU" w:bidi="ru-RU"/>
        </w:rPr>
        <w:t>Общее время экспозиции при гигиенической обработке рук: 30 с.</w:t>
      </w:r>
    </w:p>
    <w:p>
      <w:pPr>
        <w:pStyle w:val="Style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Учитывая изложенное, предлагаемый к поставке товар не соответствует требованиям извещения об осуществлении закупки.».</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отмечает, что значение «30 с.» характеристики «Общее время экспозиции при гигиенической обработке рук» не соответствует требованиям описания объекта закупки, следовательно, у комиссии Заказчика имелись основания для отклонения данной заявки и наличие в описании объекта закупки неправомерного установления характеристики «Общее время экспозиции при хирургической обработке рук: &lt;= 60 с.» не повлияло на определения поставщика (подрядчика, исполнителя) данной закупки.</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 признании данного довода жалобы обоснованным и о нарушении Заказчиком п.1 ч.1 ст.33 Закона о контрактной системе и содержат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Также согласно данному доводу жалобы в описании объекта закупки неправомерно установлено требование к антимикробной активности против легионеллы, так как в инструкции на дезинфицирующее средство «СиШер! Р» данная характеристика отсутствует.</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На заседании Комиссии Управления представитель Заказчика пояснил, что согласно п.1.2 инструкции - «Средство «Кутасепт Ф» вызывает гибель грамположительных и </w:t>
      </w:r>
      <w:r>
        <w:rPr>
          <w:b/>
          <w:bCs/>
          <w:color w:val="000000"/>
          <w:spacing w:val="0"/>
          <w:w w:val="100"/>
          <w:position w:val="0"/>
          <w:shd w:val="clear" w:color="auto" w:fill="auto"/>
          <w:lang w:val="ru-RU" w:eastAsia="ru-RU" w:bidi="ru-RU"/>
        </w:rPr>
        <w:t xml:space="preserve">грамотрицательных </w:t>
      </w:r>
      <w:r>
        <w:rPr>
          <w:color w:val="000000"/>
          <w:spacing w:val="0"/>
          <w:w w:val="100"/>
          <w:position w:val="0"/>
          <w:shd w:val="clear" w:color="auto" w:fill="auto"/>
          <w:lang w:val="ru-RU" w:eastAsia="ru-RU" w:bidi="ru-RU"/>
        </w:rPr>
        <w:t>бактерий, в том числе возбудителей внутрибольничных инфекций, микобактерий туберкулеза, грибов рода (включая дрожжеподобные грибы рода Кандида), вирусов (гепатит В, ВИЧ).».</w:t>
      </w:r>
    </w:p>
    <w:p>
      <w:pPr>
        <w:pStyle w:val="Style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Легионелла (лат. ^ед^о№е11а) — род патогенных грамотрицательных бактерий из класса 6аттарго1:еоЪас1:епа. Легионелла - это </w:t>
      </w:r>
      <w:r>
        <w:rPr>
          <w:b/>
          <w:bCs/>
          <w:color w:val="000000"/>
          <w:spacing w:val="0"/>
          <w:w w:val="100"/>
          <w:position w:val="0"/>
          <w:shd w:val="clear" w:color="auto" w:fill="auto"/>
          <w:lang w:val="ru-RU" w:eastAsia="ru-RU" w:bidi="ru-RU"/>
        </w:rPr>
        <w:t xml:space="preserve">грамотрицательная </w:t>
      </w:r>
      <w:r>
        <w:rPr>
          <w:color w:val="000000"/>
          <w:spacing w:val="0"/>
          <w:w w:val="100"/>
          <w:position w:val="0"/>
          <w:shd w:val="clear" w:color="auto" w:fill="auto"/>
          <w:lang w:val="ru-RU" w:eastAsia="ru-RU" w:bidi="ru-RU"/>
        </w:rPr>
        <w:t>палочка размером до 3 мкм.</w:t>
      </w:r>
    </w:p>
    <w:p>
      <w:pPr>
        <w:pStyle w:val="Style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связи с чем, требование технического задания, связанное с антимикробной активностью против легионеллы соответствуют инструкции дезинфицирующего средства «СиШер! Р».</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Обязанность доказывания нарушения Заказчиком своих прав и законных интересов лежит на подателе жалобы, однако, в составе жалобы, а также на заседании Комиссии Управления, Заявителем не представлено документов и сведений, свидетельствующих об ограничении количества участников закупки в части установления оспариваемой вышеуказанной характеристики дезинфицирующего средства и о нарушении Заказчиком норм законодательства об осуществлении закупок, ввиду чего у Комиссии Управления отсутствуют правовые </w:t>
      </w:r>
      <w:r>
        <w:rPr>
          <w:color w:val="000000"/>
          <w:spacing w:val="0"/>
          <w:w w:val="100"/>
          <w:position w:val="0"/>
          <w:shd w:val="clear" w:color="auto" w:fill="auto"/>
          <w:lang w:val="ru-RU" w:eastAsia="ru-RU" w:bidi="ru-RU"/>
        </w:rPr>
        <w:t>основания для признания Заказчика нарушившим требования Закона о контрактной системе.</w:t>
      </w:r>
    </w:p>
    <w:p>
      <w:pPr>
        <w:pStyle w:val="Style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 том, что вышеуказанный довод жалобы в части оспаривания вышеуказанной характеристики не нашел своего подтверждения и является необоснованным.</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 Заявитель обжалует неправомерное описание объекта закупки с учетом установления в составе извещения данной закупочной процедуры ограничений в соответствии с положениями постановления Правительства Российской Федерации от 05.02.2015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постановление № 102).</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мнению Заявителя Заказчик использует наименование товара отличное от Постановления № 102, потому как код ОКПД2: 20.20.14.000, содержащийся в Постановлении № 102 имеет следующее наименование «Медицинские изделия, содержащие антисептические и дезинфицирующие препараты», следовательно Заказчик должен был указывать именно такое наименование для применения Постановления № 102.</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п.15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ст.14 Закона о контрактной системе.</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силу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w:t>
      </w:r>
      <w:r>
        <w:rPr>
          <w:color w:val="000000"/>
          <w:spacing w:val="0"/>
          <w:w w:val="100"/>
          <w:position w:val="0"/>
          <w:shd w:val="clear" w:color="auto" w:fill="auto"/>
          <w:lang w:val="ru-RU" w:eastAsia="ru-RU" w:bidi="ru-RU"/>
        </w:rPr>
        <w:t>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Абз.2 п.1 Постановления №102 установлен перечень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перечень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К 1);</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перечень медицинских изделий одноразового применения (использования) из поливинилхлоридных пластиков и иных пластиков, полимеров и материалов,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К 2).</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примечанию к Перечню №1 и № 2 при применении данного Перечня следует руководствоваться как кодом в соответствии с Общероссийским классификатором продукции по видам экономической деятельности (ОКПД 2), так и наименованием вида медицинского изделия.</w:t>
      </w:r>
    </w:p>
    <w:p>
      <w:pPr>
        <w:pStyle w:val="Style8"/>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при формировании закупки Заказчик руководствуется кодами КТРУ 20.20.14.000</w:t>
        <w:softHyphen/>
        <w:t>00000005 и ОКПД2 20.20.14.000, которые являются идентичными по цифровой последовательности, в связи с чем Заказчиком было установлено наименование закупаемого медицинского изделия в соответствии с позицией КТРУ 20.20.14.000</w:t>
        <w:softHyphen/>
        <w:t>00000005 с наименованием «Средство дезинфицирующее». Техническая возможность редактирования данных КТРУ отсутствует.</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связи с изложенным, наименование в извещении к закупке указано в соответствии с позицией КТРУ</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ОКПД2 (20.20.14.000 медицинские изделия, содержащие антисептические и дезинфицирующие препараты), установленный в извещении электронного аукциона, входит Перечень № 1 постановления Правительства №102, Заказчиком верно установлено ограничение в извещении.</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Комиссия Управления отмечает, что согласно описанию объекта закупки, в том числе разделу 5 «Требования к используемым материалам и оборудованию» Технического задания, а также требованию к содержанию в составе заявки регистрационного удостоверения в качестве подтверждения закупки медицинского изделия в рамках данной закупочной процедуры, Заказчиком закупается медицинское изделие.</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ч.4 ст.106 Закона о контрактной системе в составе жалобы, а также на заседании Комиссии Управления, Заявителем не представлено документов и сведений, свидетельствующих об ограничении количества участников закупки и о нарушении Заказчиком норм законодательства об осуществлении закупок, ввиду чего у Комиссии Управления отсутствуют правовые основания для признания</w:t>
        <w:br w:type="page"/>
      </w:r>
      <w:r>
        <w:rPr>
          <w:color w:val="000000"/>
          <w:spacing w:val="0"/>
          <w:w w:val="100"/>
          <w:position w:val="0"/>
          <w:shd w:val="clear" w:color="auto" w:fill="auto"/>
          <w:lang w:val="ru-RU" w:eastAsia="ru-RU" w:bidi="ru-RU"/>
        </w:rPr>
        <w:t>Заказчика нарушившим требования Закона о контрактной системе.</w:t>
      </w:r>
    </w:p>
    <w:p>
      <w:pPr>
        <w:pStyle w:val="Style8"/>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 том, что вышеуказанный довод жалобы не нашел своего подтверждения и является необоснованным.</w:t>
      </w:r>
    </w:p>
    <w:p>
      <w:pPr>
        <w:pStyle w:val="Style8"/>
        <w:keepNext w:val="0"/>
        <w:keepLines w:val="0"/>
        <w:widowControl w:val="0"/>
        <w:shd w:val="clear" w:color="auto" w:fill="auto"/>
        <w:bidi w:val="0"/>
        <w:spacing w:before="0" w:after="280" w:line="240" w:lineRule="auto"/>
        <w:ind w:left="0" w:right="0" w:firstLine="66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8"/>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8"/>
        <w:keepNext w:val="0"/>
        <w:keepLines w:val="0"/>
        <w:widowControl w:val="0"/>
        <w:numPr>
          <w:ilvl w:val="0"/>
          <w:numId w:val="7"/>
        </w:numPr>
        <w:shd w:val="clear" w:color="auto" w:fill="auto"/>
        <w:tabs>
          <w:tab w:pos="896" w:val="left"/>
        </w:tabs>
        <w:bidi w:val="0"/>
        <w:spacing w:before="0" w:after="0" w:line="240" w:lineRule="auto"/>
        <w:ind w:left="0" w:right="0" w:firstLine="660"/>
        <w:jc w:val="both"/>
      </w:pPr>
      <w:r>
        <w:rPr>
          <w:color w:val="000000"/>
          <w:spacing w:val="0"/>
          <w:w w:val="100"/>
          <w:position w:val="0"/>
          <w:shd w:val="clear" w:color="auto" w:fill="auto"/>
          <w:lang w:val="ru-RU" w:eastAsia="ru-RU" w:bidi="ru-RU"/>
        </w:rPr>
        <w:t>.Признать жалобу ООО «Лаборатория Инсепта» на действия ГКУ АЗ (КС) ДЗМ обоснованной в части неправомерного описания объекта закупки.</w:t>
      </w:r>
    </w:p>
    <w:p>
      <w:pPr>
        <w:pStyle w:val="Style8"/>
        <w:keepNext w:val="0"/>
        <w:keepLines w:val="0"/>
        <w:widowControl w:val="0"/>
        <w:numPr>
          <w:ilvl w:val="0"/>
          <w:numId w:val="7"/>
        </w:numPr>
        <w:shd w:val="clear" w:color="auto" w:fill="auto"/>
        <w:tabs>
          <w:tab w:pos="934" w:val="left"/>
        </w:tabs>
        <w:bidi w:val="0"/>
        <w:spacing w:before="0" w:after="0" w:line="240" w:lineRule="auto"/>
        <w:ind w:left="0" w:right="0" w:firstLine="660"/>
        <w:jc w:val="both"/>
      </w:pPr>
      <w:r>
        <w:rPr>
          <w:color w:val="000000"/>
          <w:spacing w:val="0"/>
          <w:w w:val="100"/>
          <w:position w:val="0"/>
          <w:shd w:val="clear" w:color="auto" w:fill="auto"/>
          <w:lang w:val="ru-RU" w:eastAsia="ru-RU" w:bidi="ru-RU"/>
        </w:rPr>
        <w:t>.Признать в действиях Заказчика нарушения п.1 ч.1 ст.33 Закона о контрактной системе.</w:t>
      </w:r>
    </w:p>
    <w:p>
      <w:pPr>
        <w:pStyle w:val="Style8"/>
        <w:keepNext w:val="0"/>
        <w:keepLines w:val="0"/>
        <w:widowControl w:val="0"/>
        <w:numPr>
          <w:ilvl w:val="0"/>
          <w:numId w:val="7"/>
        </w:numPr>
        <w:shd w:val="clear" w:color="auto" w:fill="auto"/>
        <w:tabs>
          <w:tab w:pos="925" w:val="left"/>
        </w:tabs>
        <w:bidi w:val="0"/>
        <w:spacing w:before="0" w:after="0" w:line="240" w:lineRule="auto"/>
        <w:ind w:left="0" w:right="0" w:firstLine="660"/>
        <w:jc w:val="both"/>
      </w:pPr>
      <w:r>
        <w:rPr>
          <w:color w:val="000000"/>
          <w:spacing w:val="0"/>
          <w:w w:val="100"/>
          <w:position w:val="0"/>
          <w:shd w:val="clear" w:color="auto" w:fill="auto"/>
          <w:lang w:val="ru-RU" w:eastAsia="ru-RU" w:bidi="ru-RU"/>
        </w:rPr>
        <w:t>. Обязательное для исполнения предписание об устранении нарушений законодательства о контрактной системе Заказчику не выдавать, поскольку выявленные нарушения не повлияли на определение поставщика (подрядчика, исполнителя).</w:t>
      </w:r>
    </w:p>
    <w:p>
      <w:pPr>
        <w:pStyle w:val="Style8"/>
        <w:keepNext w:val="0"/>
        <w:keepLines w:val="0"/>
        <w:widowControl w:val="0"/>
        <w:numPr>
          <w:ilvl w:val="0"/>
          <w:numId w:val="7"/>
        </w:numPr>
        <w:shd w:val="clear" w:color="auto" w:fill="auto"/>
        <w:tabs>
          <w:tab w:pos="944" w:val="left"/>
        </w:tabs>
        <w:bidi w:val="0"/>
        <w:spacing w:before="0" w:after="280" w:line="240" w:lineRule="auto"/>
        <w:ind w:left="0" w:right="0" w:firstLine="660"/>
        <w:jc w:val="both"/>
      </w:pPr>
      <w:r>
        <w:rPr>
          <w:color w:val="000000"/>
          <w:spacing w:val="0"/>
          <w:w w:val="100"/>
          <w:position w:val="0"/>
          <w:shd w:val="clear" w:color="auto" w:fill="auto"/>
          <w:lang w:val="ru-RU" w:eastAsia="ru-RU" w:bidi="ru-RU"/>
        </w:rPr>
        <w:t>.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8"/>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установленным гл. 24 АПК РФ.</w:t>
      </w:r>
    </w:p>
    <w:p>
      <w:pPr>
        <w:widowControl w:val="0"/>
        <w:spacing w:line="1" w:lineRule="exact"/>
        <w:sectPr>
          <w:headerReference w:type="default" r:id="rId11"/>
          <w:footerReference w:type="default" r:id="rId12"/>
          <w:footnotePr>
            <w:pos w:val="pageBottom"/>
            <w:numFmt w:val="decimal"/>
            <w:numRestart w:val="continuous"/>
          </w:footnotePr>
          <w:pgSz w:w="11900" w:h="16840"/>
          <w:pgMar w:top="1162" w:right="538" w:bottom="1114" w:left="1096" w:header="0" w:footer="3" w:gutter="0"/>
          <w:cols w:space="720"/>
          <w:noEndnote/>
          <w:rtlGutter w:val="0"/>
          <w:docGrid w:linePitch="360"/>
        </w:sectPr>
      </w:pPr>
      <w:r>
        <mc:AlternateContent>
          <mc:Choice Requires="wps">
            <w:drawing>
              <wp:anchor distT="330200" distB="356870" distL="0" distR="0" simplePos="0" relativeHeight="125829386" behindDoc="0" locked="0" layoutInCell="1" allowOverlap="1">
                <wp:simplePos x="0" y="0"/>
                <wp:positionH relativeFrom="page">
                  <wp:posOffset>734060</wp:posOffset>
                </wp:positionH>
                <wp:positionV relativeFrom="paragraph">
                  <wp:posOffset>330200</wp:posOffset>
                </wp:positionV>
                <wp:extent cx="1850390" cy="252730"/>
                <wp:wrapTopAndBottom/>
                <wp:docPr id="21" name="Shape 21"/>
                <a:graphic xmlns:a="http://schemas.openxmlformats.org/drawingml/2006/main">
                  <a:graphicData uri="http://schemas.microsoft.com/office/word/2010/wordprocessingShape">
                    <wps:wsp>
                      <wps:cNvSpPr txBox="1"/>
                      <wps:spPr>
                        <a:xfrm>
                          <a:ext cx="1850390" cy="2527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7" type="#_x0000_t202" style="position:absolute;margin-left:57.800000000000004pt;margin-top:26.pt;width:145.70000000000002pt;height:19.900000000000002pt;z-index:-125829367;mso-wrap-distance-left:0;mso-wrap-distance-top:26.pt;mso-wrap-distance-right:0;mso-wrap-distance-bottom:28.10000000000000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406400" distB="0" distL="0" distR="1786255" simplePos="0" relativeHeight="125829388" behindDoc="0" locked="0" layoutInCell="1" allowOverlap="1">
            <wp:simplePos x="0" y="0"/>
            <wp:positionH relativeFrom="page">
              <wp:posOffset>3032125</wp:posOffset>
            </wp:positionH>
            <wp:positionV relativeFrom="paragraph">
              <wp:posOffset>406400</wp:posOffset>
            </wp:positionV>
            <wp:extent cx="353695" cy="536575"/>
            <wp:wrapTopAndBottom/>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3489325</wp:posOffset>
                </wp:positionH>
                <wp:positionV relativeFrom="paragraph">
                  <wp:posOffset>805815</wp:posOffset>
                </wp:positionV>
                <wp:extent cx="1283335" cy="103505"/>
                <wp:wrapNone/>
                <wp:docPr id="25" name="Shape 25"/>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FFFFF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74.75pt;margin-top:63.450000000000003pt;width:101.05pt;height:8.1500000000000004pt;z-index:251657729;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FFFFFF"/>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3446780</wp:posOffset>
                </wp:positionH>
                <wp:positionV relativeFrom="paragraph">
                  <wp:posOffset>494665</wp:posOffset>
                </wp:positionV>
                <wp:extent cx="1722120" cy="255905"/>
                <wp:wrapNone/>
                <wp:docPr id="27" name="Shape 2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3" type="#_x0000_t202" style="position:absolute;margin-left:271.39999999999998pt;margin-top:38.950000000000003pt;width:135.59999999999999pt;height:20.150000000000002pt;z-index:251657731;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330200" distB="356870" distL="0" distR="0" simplePos="0" relativeHeight="125829389" behindDoc="0" locked="0" layoutInCell="1" allowOverlap="1">
                <wp:simplePos x="0" y="0"/>
                <wp:positionH relativeFrom="page">
                  <wp:posOffset>6336030</wp:posOffset>
                </wp:positionH>
                <wp:positionV relativeFrom="paragraph">
                  <wp:posOffset>330200</wp:posOffset>
                </wp:positionV>
                <wp:extent cx="880745" cy="252730"/>
                <wp:wrapTopAndBottom/>
                <wp:docPr id="29" name="Shape 29"/>
                <a:graphic xmlns:a="http://schemas.openxmlformats.org/drawingml/2006/main">
                  <a:graphicData uri="http://schemas.microsoft.com/office/word/2010/wordprocessingShape">
                    <wps:wsp>
                      <wps:cNvSpPr txBox="1"/>
                      <wps:spPr>
                        <a:xfrm>
                          <a:ext cx="880745" cy="2527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Н.А. Узкий</w:t>
                            </w:r>
                          </w:p>
                        </w:txbxContent>
                      </wps:txbx>
                      <wps:bodyPr wrap="none" lIns="0" tIns="0" rIns="0" bIns="0">
                        <a:noAutoFit/>
                      </wps:bodyPr>
                    </wps:wsp>
                  </a:graphicData>
                </a:graphic>
              </wp:anchor>
            </w:drawing>
          </mc:Choice>
          <mc:Fallback>
            <w:pict>
              <v:shape id="_x0000_s1055" type="#_x0000_t202" style="position:absolute;margin-left:498.90000000000003pt;margin-top:26.pt;width:69.350000000000009pt;height:19.900000000000002pt;z-index:-125829364;mso-wrap-distance-left:0;mso-wrap-distance-top:26.pt;mso-wrap-distance-right:0;mso-wrap-distance-bottom:28.10000000000000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Н.А. Узкий</w:t>
                      </w:r>
                    </w:p>
                  </w:txbxContent>
                </v:textbox>
                <w10:wrap type="topAndBottom" anchorx="page"/>
              </v:shape>
            </w:pict>
          </mc:Fallback>
        </mc:AlternateContent>
      </w:r>
    </w:p>
    <w:p>
      <w:pPr>
        <w:pStyle w:val="Style25"/>
        <w:keepNext w:val="0"/>
        <w:keepLines w:val="0"/>
        <w:widowControl w:val="0"/>
        <w:shd w:val="clear" w:color="auto" w:fill="auto"/>
        <w:bidi w:val="0"/>
        <w:spacing w:before="0" w:after="0" w:line="240" w:lineRule="auto"/>
        <w:ind w:left="3700" w:right="0" w:firstLine="0"/>
        <w:jc w:val="both"/>
        <w:rPr>
          <w:sz w:val="11"/>
          <w:szCs w:val="11"/>
        </w:rPr>
      </w:pPr>
      <w:r>
        <w:rPr>
          <w:color w:val="636363"/>
          <w:spacing w:val="0"/>
          <w:w w:val="100"/>
          <w:position w:val="0"/>
          <w:sz w:val="12"/>
          <w:szCs w:val="12"/>
          <w:shd w:val="clear" w:color="auto" w:fill="auto"/>
          <w:lang w:val="ru-RU" w:eastAsia="ru-RU" w:bidi="ru-RU"/>
        </w:rPr>
        <w:t xml:space="preserve">Кому </w:t>
      </w:r>
      <w:r>
        <w:rPr>
          <w:color w:val="000000"/>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Узкий Николай Александрович</w:t>
      </w:r>
    </w:p>
    <w:p>
      <w:pPr>
        <w:pStyle w:val="Style25"/>
        <w:keepNext w:val="0"/>
        <w:keepLines w:val="0"/>
        <w:widowControl w:val="0"/>
        <w:shd w:val="clear" w:color="auto" w:fill="auto"/>
        <w:bidi w:val="0"/>
        <w:spacing w:before="0" w:after="0" w:line="240" w:lineRule="auto"/>
        <w:ind w:left="3700" w:right="0" w:firstLine="0"/>
        <w:jc w:val="both"/>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0084Е434Е5152Е57С03201780ВА4А68226</w:t>
      </w:r>
    </w:p>
    <w:p>
      <w:pPr>
        <w:pStyle w:val="Style25"/>
        <w:keepNext w:val="0"/>
        <w:keepLines w:val="0"/>
        <w:widowControl w:val="0"/>
        <w:shd w:val="clear" w:color="auto" w:fill="auto"/>
        <w:bidi w:val="0"/>
        <w:spacing w:before="0" w:after="0" w:line="240" w:lineRule="auto"/>
        <w:ind w:left="3700" w:right="0" w:firstLine="0"/>
        <w:jc w:val="both"/>
      </w:pPr>
      <w:r>
        <w:rPr>
          <w:color w:val="636363"/>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12.03.2024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05.06.2025</w:t>
      </w:r>
    </w:p>
    <w:p>
      <w:pPr>
        <w:widowControl w:val="0"/>
        <w:spacing w:line="1" w:lineRule="exact"/>
        <w:sectPr>
          <w:footnotePr>
            <w:pos w:val="pageBottom"/>
            <w:numFmt w:val="decimal"/>
            <w:numRestart w:val="continuous"/>
          </w:footnotePr>
          <w:type w:val="continuous"/>
          <w:pgSz w:w="11900" w:h="16840"/>
          <w:pgMar w:top="1162" w:right="541" w:bottom="1335" w:left="1106" w:header="0" w:footer="3" w:gutter="0"/>
          <w:cols w:space="720"/>
          <w:noEndnote/>
          <w:rtlGutter w:val="0"/>
          <w:docGrid w:linePitch="360"/>
        </w:sectPr>
      </w:pPr>
      <w:r>
        <mc:AlternateContent>
          <mc:Choice Requires="wps">
            <w:drawing>
              <wp:anchor distT="190500" distB="356235" distL="0" distR="0" simplePos="0" relativeHeight="125829391" behindDoc="0" locked="0" layoutInCell="1" allowOverlap="1">
                <wp:simplePos x="0" y="0"/>
                <wp:positionH relativeFrom="page">
                  <wp:posOffset>734060</wp:posOffset>
                </wp:positionH>
                <wp:positionV relativeFrom="paragraph">
                  <wp:posOffset>190500</wp:posOffset>
                </wp:positionV>
                <wp:extent cx="1341120" cy="250190"/>
                <wp:wrapTopAndBottom/>
                <wp:docPr id="31" name="Shape 31"/>
                <a:graphic xmlns:a="http://schemas.openxmlformats.org/drawingml/2006/main">
                  <a:graphicData uri="http://schemas.microsoft.com/office/word/2010/wordprocessingShape">
                    <wps:wsp>
                      <wps:cNvSpPr txBox="1"/>
                      <wps:spPr>
                        <a:xfrm>
                          <a:ext cx="1341120" cy="2501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57" type="#_x0000_t202" style="position:absolute;margin-left:57.800000000000004pt;margin-top:15.pt;width:105.60000000000001pt;height:19.699999999999999pt;z-index:-125829362;mso-wrap-distance-left:0;mso-wrap-distance-top:15.pt;mso-wrap-distance-right:0;mso-wrap-distance-bottom:28.05000000000000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w:drawing>
          <wp:anchor distT="263525" distB="0" distL="0" distR="1786255" simplePos="0" relativeHeight="125829393" behindDoc="0" locked="0" layoutInCell="1" allowOverlap="1">
            <wp:simplePos x="0" y="0"/>
            <wp:positionH relativeFrom="page">
              <wp:posOffset>3032125</wp:posOffset>
            </wp:positionH>
            <wp:positionV relativeFrom="paragraph">
              <wp:posOffset>263525</wp:posOffset>
            </wp:positionV>
            <wp:extent cx="353695" cy="536575"/>
            <wp:wrapTopAndBottom/>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15"/>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3489325</wp:posOffset>
                </wp:positionH>
                <wp:positionV relativeFrom="paragraph">
                  <wp:posOffset>666115</wp:posOffset>
                </wp:positionV>
                <wp:extent cx="1283335" cy="100330"/>
                <wp:wrapNone/>
                <wp:docPr id="35" name="Shape 3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FFFFF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1" type="#_x0000_t202" style="position:absolute;margin-left:274.75pt;margin-top:52.450000000000003pt;width:101.05pt;height:7.9000000000000004pt;z-index:251657733;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FFFFFF"/>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3446780</wp:posOffset>
                </wp:positionH>
                <wp:positionV relativeFrom="paragraph">
                  <wp:posOffset>351790</wp:posOffset>
                </wp:positionV>
                <wp:extent cx="1722120" cy="255905"/>
                <wp:wrapNone/>
                <wp:docPr id="37" name="Shape 3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63" type="#_x0000_t202" style="position:absolute;margin-left:271.39999999999998pt;margin-top:27.699999999999999pt;width:135.59999999999999pt;height:20.150000000000002pt;z-index:251657735;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190500" distB="356235" distL="0" distR="0" simplePos="0" relativeHeight="125829394" behindDoc="0" locked="0" layoutInCell="1" allowOverlap="1">
                <wp:simplePos x="0" y="0"/>
                <wp:positionH relativeFrom="page">
                  <wp:posOffset>5863590</wp:posOffset>
                </wp:positionH>
                <wp:positionV relativeFrom="paragraph">
                  <wp:posOffset>190500</wp:posOffset>
                </wp:positionV>
                <wp:extent cx="1313815" cy="250190"/>
                <wp:wrapTopAndBottom/>
                <wp:docPr id="39" name="Shape 39"/>
                <a:graphic xmlns:a="http://schemas.openxmlformats.org/drawingml/2006/main">
                  <a:graphicData uri="http://schemas.microsoft.com/office/word/2010/wordprocessingShape">
                    <wps:wsp>
                      <wps:cNvSpPr txBox="1"/>
                      <wps:spPr>
                        <a:xfrm>
                          <a:ext cx="1313815" cy="2501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Кутейников</w:t>
                            </w:r>
                          </w:p>
                        </w:txbxContent>
                      </wps:txbx>
                      <wps:bodyPr wrap="none" lIns="0" tIns="0" rIns="0" bIns="0">
                        <a:noAutoFit/>
                      </wps:bodyPr>
                    </wps:wsp>
                  </a:graphicData>
                </a:graphic>
              </wp:anchor>
            </w:drawing>
          </mc:Choice>
          <mc:Fallback>
            <w:pict>
              <v:shape id="_x0000_s1065" type="#_x0000_t202" style="position:absolute;margin-left:461.69999999999999pt;margin-top:15.pt;width:103.45pt;height:19.699999999999999pt;z-index:-125829359;mso-wrap-distance-left:0;mso-wrap-distance-top:15.pt;mso-wrap-distance-right:0;mso-wrap-distance-bottom:28.05000000000000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Кутейников</w:t>
                      </w:r>
                    </w:p>
                  </w:txbxContent>
                </v:textbox>
                <w10:wrap type="topAndBottom" anchorx="page"/>
              </v:shape>
            </w:pict>
          </mc:Fallback>
        </mc:AlternateContent>
      </w:r>
    </w:p>
    <w:p>
      <w:pPr>
        <w:pStyle w:val="Style25"/>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w:t>
      </w:r>
      <w:r>
        <w:rPr>
          <w:color w:val="000000"/>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Кутейников Антон Андреевич</w:t>
      </w:r>
    </w:p>
    <w:p>
      <w:pPr>
        <w:pStyle w:val="Style2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526ССС2Е48634А0964757620Е6ЕОАЕ90</w:t>
      </w:r>
    </w:p>
    <w:p>
      <w:pPr>
        <w:pStyle w:val="Style25"/>
        <w:keepNext w:val="0"/>
        <w:keepLines w:val="0"/>
        <w:widowControl w:val="0"/>
        <w:shd w:val="clear" w:color="auto" w:fill="auto"/>
        <w:bidi w:val="0"/>
        <w:spacing w:before="0" w:after="260" w:line="240" w:lineRule="auto"/>
        <w:ind w:right="0" w:firstLine="0"/>
        <w:jc w:val="left"/>
      </w:pPr>
      <w:r>
        <w:rPr>
          <w:color w:val="636363"/>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36363"/>
          <w:spacing w:val="0"/>
          <w:w w:val="100"/>
          <w:position w:val="0"/>
          <w:shd w:val="clear" w:color="auto" w:fill="auto"/>
          <w:lang w:val="ru-RU" w:eastAsia="ru-RU" w:bidi="ru-RU"/>
        </w:rPr>
        <w:t xml:space="preserve">12.03.2024 </w:t>
      </w:r>
      <w:r>
        <w:rPr>
          <w:color w:val="000000"/>
          <w:spacing w:val="0"/>
          <w:w w:val="100"/>
          <w:position w:val="0"/>
          <w:shd w:val="clear" w:color="auto" w:fill="auto"/>
          <w:lang w:val="ru-RU" w:eastAsia="ru-RU" w:bidi="ru-RU"/>
        </w:rPr>
        <w:t xml:space="preserve">по </w:t>
      </w:r>
      <w:r>
        <w:rPr>
          <w:color w:val="636363"/>
          <w:spacing w:val="0"/>
          <w:w w:val="100"/>
          <w:position w:val="0"/>
          <w:shd w:val="clear" w:color="auto" w:fill="auto"/>
          <w:lang w:val="ru-RU" w:eastAsia="ru-RU" w:bidi="ru-RU"/>
        </w:rPr>
        <w:t>05.06.2025</w:t>
      </w:r>
    </w:p>
    <w:p>
      <w:pPr>
        <w:pStyle w:val="Style8"/>
        <w:keepNext w:val="0"/>
        <w:keepLines w:val="0"/>
        <w:widowControl w:val="0"/>
        <w:shd w:val="clear" w:color="auto" w:fill="auto"/>
        <w:bidi w:val="0"/>
        <w:spacing w:before="0" w:after="620" w:line="240" w:lineRule="auto"/>
        <w:ind w:left="1220" w:right="0" w:firstLine="0"/>
        <w:jc w:val="left"/>
      </w:pPr>
      <w:r>
        <w:drawing>
          <wp:anchor distT="0" distB="0" distL="114300" distR="1900555" simplePos="0" relativeHeight="125829396" behindDoc="0" locked="0" layoutInCell="1" allowOverlap="1">
            <wp:simplePos x="0" y="0"/>
            <wp:positionH relativeFrom="page">
              <wp:posOffset>3032125</wp:posOffset>
            </wp:positionH>
            <wp:positionV relativeFrom="paragraph">
              <wp:posOffset>63500</wp:posOffset>
            </wp:positionV>
            <wp:extent cx="353695" cy="536575"/>
            <wp:wrapSquare wrapText="right"/>
            <wp:docPr id="41" name="Shape 41"/>
            <a:graphic xmlns:a="http://schemas.openxmlformats.org/drawingml/2006/main">
              <a:graphicData uri="http://schemas.openxmlformats.org/drawingml/2006/picture">
                <pic:pic xmlns:pic="http://schemas.openxmlformats.org/drawingml/2006/picture">
                  <pic:nvPicPr>
                    <pic:cNvPr id="42" name="Picture box 42"/>
                    <pic:cNvPicPr/>
                  </pic:nvPicPr>
                  <pic:blipFill>
                    <a:blip r:embed="rId17"/>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3489325</wp:posOffset>
                </wp:positionH>
                <wp:positionV relativeFrom="paragraph">
                  <wp:posOffset>466090</wp:posOffset>
                </wp:positionV>
                <wp:extent cx="1283335" cy="100330"/>
                <wp:wrapNone/>
                <wp:docPr id="43" name="Shape 43"/>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FFFFF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9" type="#_x0000_t202" style="position:absolute;margin-left:274.75pt;margin-top:36.700000000000003pt;width:101.05pt;height:7.9000000000000004pt;z-index:251657737;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FFFFFF"/>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3446780</wp:posOffset>
                </wp:positionH>
                <wp:positionV relativeFrom="paragraph">
                  <wp:posOffset>151765</wp:posOffset>
                </wp:positionV>
                <wp:extent cx="1722120" cy="255905"/>
                <wp:wrapNone/>
                <wp:docPr id="45" name="Shape 4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71" type="#_x0000_t202" style="position:absolute;margin-left:271.39999999999998pt;margin-top:11.950000000000001pt;width:135.59999999999999pt;height:20.150000000000002pt;z-index:251657739;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М.О. Мацнева</w:t>
      </w:r>
    </w:p>
    <w:p>
      <w:pPr>
        <w:pStyle w:val="Style25"/>
        <w:keepNext w:val="0"/>
        <w:keepLines w:val="0"/>
        <w:widowControl w:val="0"/>
        <w:shd w:val="clear" w:color="auto" w:fill="auto"/>
        <w:bidi w:val="0"/>
        <w:spacing w:before="0" w:after="0" w:line="240" w:lineRule="auto"/>
        <w:ind w:right="0" w:firstLine="0"/>
        <w:jc w:val="left"/>
        <w:rPr>
          <w:sz w:val="11"/>
          <w:szCs w:val="11"/>
        </w:rPr>
      </w:pPr>
      <w:r>
        <w:rPr>
          <w:color w:val="242424"/>
          <w:spacing w:val="0"/>
          <w:w w:val="100"/>
          <w:position w:val="0"/>
          <w:sz w:val="12"/>
          <w:szCs w:val="12"/>
          <w:shd w:val="clear" w:color="auto" w:fill="auto"/>
          <w:lang w:val="ru-RU" w:eastAsia="ru-RU" w:bidi="ru-RU"/>
        </w:rPr>
        <w:t xml:space="preserve">Кому </w:t>
      </w:r>
      <w:r>
        <w:rPr>
          <w:color w:val="000000"/>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Мацнева Мария Олеговна</w:t>
      </w:r>
    </w:p>
    <w:p>
      <w:pPr>
        <w:pStyle w:val="Style25"/>
        <w:keepNext w:val="0"/>
        <w:keepLines w:val="0"/>
        <w:widowControl w:val="0"/>
        <w:shd w:val="clear" w:color="auto" w:fill="auto"/>
        <w:bidi w:val="0"/>
        <w:spacing w:before="0" w:after="0" w:line="240" w:lineRule="auto"/>
        <w:ind w:right="0" w:firstLine="0"/>
        <w:jc w:val="left"/>
      </w:pPr>
      <w:r>
        <w:rPr>
          <w:color w:val="242424"/>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42424"/>
          <w:spacing w:val="0"/>
          <w:w w:val="100"/>
          <w:position w:val="0"/>
          <w:shd w:val="clear" w:color="auto" w:fill="auto"/>
          <w:lang w:val="ru-RU" w:eastAsia="ru-RU" w:bidi="ru-RU"/>
        </w:rPr>
        <w:t>00803Е81769ПЕ8688001Е612СЗС6В74577</w:t>
      </w:r>
    </w:p>
    <w:p>
      <w:pPr>
        <w:pStyle w:val="Style25"/>
        <w:keepNext w:val="0"/>
        <w:keepLines w:val="0"/>
        <w:widowControl w:val="0"/>
        <w:shd w:val="clear" w:color="auto" w:fill="auto"/>
        <w:bidi w:val="0"/>
        <w:spacing w:before="0" w:after="580" w:line="240" w:lineRule="auto"/>
        <w:ind w:right="0" w:firstLine="0"/>
        <w:jc w:val="left"/>
      </w:pPr>
      <w:r>
        <w:rPr>
          <w:color w:val="636363"/>
          <w:spacing w:val="0"/>
          <w:w w:val="100"/>
          <w:position w:val="0"/>
          <w:shd w:val="clear" w:color="auto" w:fill="auto"/>
          <w:lang w:val="ru-RU" w:eastAsia="ru-RU" w:bidi="ru-RU"/>
        </w:rPr>
        <w:t xml:space="preserve">Действителен </w:t>
      </w:r>
      <w:r>
        <w:rPr>
          <w:color w:val="242424"/>
          <w:spacing w:val="0"/>
          <w:w w:val="100"/>
          <w:position w:val="0"/>
          <w:shd w:val="clear" w:color="auto" w:fill="auto"/>
          <w:lang w:val="ru-RU" w:eastAsia="ru-RU" w:bidi="ru-RU"/>
        </w:rPr>
        <w:t xml:space="preserve">с </w:t>
      </w:r>
      <w:r>
        <w:rPr>
          <w:color w:val="636363"/>
          <w:spacing w:val="0"/>
          <w:w w:val="100"/>
          <w:position w:val="0"/>
          <w:shd w:val="clear" w:color="auto" w:fill="auto"/>
          <w:lang w:val="ru-RU" w:eastAsia="ru-RU" w:bidi="ru-RU"/>
        </w:rPr>
        <w:t>20.05.2024 по 13.08.2025</w:t>
      </w:r>
    </w:p>
    <w:p>
      <w:pPr>
        <w:pStyle w:val="Style31"/>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Исп.Мацнева М.О.тел.8(495)784-75-05</w:t>
      </w:r>
    </w:p>
    <w:sectPr>
      <w:footnotePr>
        <w:pos w:val="pageBottom"/>
        <w:numFmt w:val="decimal"/>
        <w:numRestart w:val="continuous"/>
      </w:footnotePr>
      <w:type w:val="continuous"/>
      <w:pgSz w:w="11900" w:h="16840"/>
      <w:pgMar w:top="1162" w:right="541"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724535</wp:posOffset>
              </wp:positionH>
              <wp:positionV relativeFrom="page">
                <wp:posOffset>10146030</wp:posOffset>
              </wp:positionV>
              <wp:extent cx="722630" cy="100330"/>
              <wp:wrapNone/>
              <wp:docPr id="3" name="Shape 3"/>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2024-45209</w:t>
                          </w:r>
                        </w:p>
                      </w:txbxContent>
                    </wps:txbx>
                    <wps:bodyPr wrap="none" lIns="0" tIns="0" rIns="0" bIns="0">
                      <a:spAutoFit/>
                    </wps:bodyPr>
                  </wps:wsp>
                </a:graphicData>
              </a:graphic>
            </wp:anchor>
          </w:drawing>
        </mc:Choice>
        <mc:Fallback>
          <w:pict>
            <v:shape id="_x0000_s1029" type="#_x0000_t202" style="position:absolute;margin-left:57.050000000000004pt;margin-top:798.89999999999998pt;width:56.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2024-45209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10217150</wp:posOffset>
              </wp:positionV>
              <wp:extent cx="725170" cy="100330"/>
              <wp:wrapNone/>
              <wp:docPr id="5" name="Shape 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2024-45209</w:t>
                          </w:r>
                        </w:p>
                      </w:txbxContent>
                    </wps:txbx>
                    <wps:bodyPr wrap="none" lIns="0" tIns="0" rIns="0" bIns="0">
                      <a:spAutoFit/>
                    </wps:bodyPr>
                  </wps:wsp>
                </a:graphicData>
              </a:graphic>
            </wp:anchor>
          </w:drawing>
        </mc:Choice>
        <mc:Fallback>
          <w:pict>
            <v:shape id="_x0000_s1031" type="#_x0000_t202" style="position:absolute;margin-left:57.pt;margin-top:804.5pt;width:57.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2024-45209</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724535</wp:posOffset>
              </wp:positionH>
              <wp:positionV relativeFrom="page">
                <wp:posOffset>10146030</wp:posOffset>
              </wp:positionV>
              <wp:extent cx="722630" cy="100330"/>
              <wp:wrapNone/>
              <wp:docPr id="19" name="Shape 19"/>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2024-45209</w:t>
                          </w:r>
                        </w:p>
                      </w:txbxContent>
                    </wps:txbx>
                    <wps:bodyPr wrap="none" lIns="0" tIns="0" rIns="0" bIns="0">
                      <a:spAutoFit/>
                    </wps:bodyPr>
                  </wps:wsp>
                </a:graphicData>
              </a:graphic>
            </wp:anchor>
          </w:drawing>
        </mc:Choice>
        <mc:Fallback>
          <w:pict>
            <v:shape id="_x0000_s1045" type="#_x0000_t202" style="position:absolute;margin-left:57.050000000000004pt;margin-top:798.89999999999998pt;width:56.899999999999999pt;height:7.9000000000000004pt;z-index:-18874405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2024-45209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3928110</wp:posOffset>
              </wp:positionH>
              <wp:positionV relativeFrom="page">
                <wp:posOffset>476250</wp:posOffset>
              </wp:positionV>
              <wp:extent cx="57785" cy="103505"/>
              <wp:wrapNone/>
              <wp:docPr id="1" name="Shape 1"/>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09.30000000000001pt;margin-top:37.5pt;width:4.54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3927475</wp:posOffset>
              </wp:positionH>
              <wp:positionV relativeFrom="page">
                <wp:posOffset>476250</wp:posOffset>
              </wp:positionV>
              <wp:extent cx="57785" cy="103505"/>
              <wp:wrapNone/>
              <wp:docPr id="15" name="Shape 15"/>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1" type="#_x0000_t202" style="position:absolute;margin-left:309.25pt;margin-top:37.5pt;width:4.5499999999999998pt;height:8.1500000000000004pt;z-index:-18874405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3928110</wp:posOffset>
              </wp:positionH>
              <wp:positionV relativeFrom="page">
                <wp:posOffset>476250</wp:posOffset>
              </wp:positionV>
              <wp:extent cx="57785" cy="103505"/>
              <wp:wrapNone/>
              <wp:docPr id="17" name="Shape 17"/>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3" type="#_x0000_t202" style="position:absolute;margin-left:309.30000000000001pt;margin-top:37.5pt;width:4.5499999999999998pt;height:8.1500000000000004pt;z-index:-188744055;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_"/>
    <w:basedOn w:val="DefaultParagraphFont"/>
    <w:link w:val="Style8"/>
    <w:rPr>
      <w:rFonts w:ascii="Times New Roman" w:eastAsia="Times New Roman" w:hAnsi="Times New Roman" w:cs="Times New Roman"/>
      <w:b w:val="0"/>
      <w:bCs w:val="0"/>
      <w:i w:val="0"/>
      <w:iCs w:val="0"/>
      <w:smallCaps w:val="0"/>
      <w:strike w:val="0"/>
      <w:sz w:val="28"/>
      <w:szCs w:val="28"/>
      <w:u w:val="none"/>
    </w:rPr>
  </w:style>
  <w:style w:type="character" w:customStyle="1" w:styleId="CharStyle13">
    <w:name w:val="Заголовок №2_"/>
    <w:basedOn w:val="DefaultParagraphFont"/>
    <w:link w:val="Style12"/>
    <w:rPr>
      <w:rFonts w:ascii="Times New Roman" w:eastAsia="Times New Roman" w:hAnsi="Times New Roman" w:cs="Times New Roman"/>
      <w:b w:val="0"/>
      <w:bCs w:val="0"/>
      <w:i w:val="0"/>
      <w:iCs w:val="0"/>
      <w:smallCaps w:val="0"/>
      <w:strike w:val="0"/>
      <w:sz w:val="30"/>
      <w:szCs w:val="30"/>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4"/>
      <w:szCs w:val="34"/>
      <w:u w:val="none"/>
    </w:rPr>
  </w:style>
  <w:style w:type="character" w:customStyle="1" w:styleId="CharStyle21">
    <w:name w:val="Подпись к картинке_"/>
    <w:basedOn w:val="DefaultParagraphFont"/>
    <w:link w:val="Style20"/>
    <w:rPr>
      <w:rFonts w:ascii="Georgia" w:eastAsia="Georgia" w:hAnsi="Georgia" w:cs="Georgia"/>
      <w:b w:val="0"/>
      <w:bCs w:val="0"/>
      <w:i w:val="0"/>
      <w:iCs w:val="0"/>
      <w:smallCaps w:val="0"/>
      <w:strike w:val="0"/>
      <w:color w:val="242424"/>
      <w:sz w:val="11"/>
      <w:szCs w:val="11"/>
      <w:u w:val="none"/>
    </w:rPr>
  </w:style>
  <w:style w:type="character" w:customStyle="1" w:styleId="CharStyle26">
    <w:name w:val="Основной текст (2)_"/>
    <w:basedOn w:val="DefaultParagraphFont"/>
    <w:link w:val="Style25"/>
    <w:rPr>
      <w:rFonts w:ascii="Arial" w:eastAsia="Arial" w:hAnsi="Arial" w:cs="Arial"/>
      <w:b w:val="0"/>
      <w:bCs w:val="0"/>
      <w:i w:val="0"/>
      <w:iCs w:val="0"/>
      <w:smallCaps w:val="0"/>
      <w:strike w:val="0"/>
      <w:color w:val="3A3A3A"/>
      <w:sz w:val="12"/>
      <w:szCs w:val="12"/>
      <w:u w:val="none"/>
    </w:rPr>
  </w:style>
  <w:style w:type="character" w:customStyle="1" w:styleId="CharStyle32">
    <w:name w:val="Основной текст (4)_"/>
    <w:basedOn w:val="DefaultParagraphFont"/>
    <w:link w:val="Style31"/>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w:basedOn w:val="Normal"/>
    <w:link w:val="CharStyle9"/>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2">
    <w:name w:val="Заголовок №2"/>
    <w:basedOn w:val="Normal"/>
    <w:link w:val="CharStyle13"/>
    <w:pPr>
      <w:widowControl w:val="0"/>
      <w:shd w:val="clear" w:color="auto" w:fill="auto"/>
      <w:spacing w:after="280"/>
      <w:ind w:firstLine="160"/>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5">
    <w:name w:val="Заголовок №1"/>
    <w:basedOn w:val="Normal"/>
    <w:link w:val="CharStyle16"/>
    <w:pPr>
      <w:widowControl w:val="0"/>
      <w:shd w:val="clear" w:color="auto" w:fill="auto"/>
      <w:spacing w:after="320"/>
      <w:ind w:firstLine="320"/>
      <w:outlineLvl w:val="0"/>
    </w:pPr>
    <w:rPr>
      <w:rFonts w:ascii="Arial" w:eastAsia="Arial" w:hAnsi="Arial" w:cs="Arial"/>
      <w:b w:val="0"/>
      <w:bCs w:val="0"/>
      <w:i w:val="0"/>
      <w:iCs w:val="0"/>
      <w:smallCaps w:val="0"/>
      <w:strike w:val="0"/>
      <w:sz w:val="34"/>
      <w:szCs w:val="34"/>
      <w:u w:val="none"/>
    </w:rPr>
  </w:style>
  <w:style w:type="paragraph" w:customStyle="1" w:styleId="Style20">
    <w:name w:val="Подпись к картинке"/>
    <w:basedOn w:val="Normal"/>
    <w:link w:val="CharStyle21"/>
    <w:pPr>
      <w:widowControl w:val="0"/>
      <w:shd w:val="clear" w:color="auto" w:fill="auto"/>
    </w:pPr>
    <w:rPr>
      <w:rFonts w:ascii="Georgia" w:eastAsia="Georgia" w:hAnsi="Georgia" w:cs="Georgia"/>
      <w:b w:val="0"/>
      <w:bCs w:val="0"/>
      <w:i w:val="0"/>
      <w:iCs w:val="0"/>
      <w:smallCaps w:val="0"/>
      <w:strike w:val="0"/>
      <w:color w:val="242424"/>
      <w:sz w:val="11"/>
      <w:szCs w:val="11"/>
      <w:u w:val="none"/>
    </w:rPr>
  </w:style>
  <w:style w:type="paragraph" w:customStyle="1" w:styleId="Style25">
    <w:name w:val="Основной текст (2)"/>
    <w:basedOn w:val="Normal"/>
    <w:link w:val="CharStyle26"/>
    <w:pPr>
      <w:widowControl w:val="0"/>
      <w:shd w:val="clear" w:color="auto" w:fill="auto"/>
      <w:ind w:left="3680"/>
    </w:pPr>
    <w:rPr>
      <w:rFonts w:ascii="Arial" w:eastAsia="Arial" w:hAnsi="Arial" w:cs="Arial"/>
      <w:b w:val="0"/>
      <w:bCs w:val="0"/>
      <w:i w:val="0"/>
      <w:iCs w:val="0"/>
      <w:smallCaps w:val="0"/>
      <w:strike w:val="0"/>
      <w:color w:val="3A3A3A"/>
      <w:sz w:val="12"/>
      <w:szCs w:val="12"/>
      <w:u w:val="none"/>
    </w:rPr>
  </w:style>
  <w:style w:type="paragraph" w:customStyle="1" w:styleId="Style31">
    <w:name w:val="Основной текст (4)"/>
    <w:basedOn w:val="Normal"/>
    <w:link w:val="CharStyle32"/>
    <w:pPr>
      <w:widowControl w:val="0"/>
      <w:shd w:val="clear" w:color="auto" w:fill="auto"/>
      <w:spacing w:after="14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 Id="rId11" Type="http://schemas.openxmlformats.org/officeDocument/2006/relationships/header" Target="header4.xml"/><Relationship Id="rId12" Type="http://schemas.openxmlformats.org/officeDocument/2006/relationships/footer" Target="footer4.xml"/><Relationship Id="rId13" Type="http://schemas.openxmlformats.org/officeDocument/2006/relationships/image" Target="media/image1.jpeg"/><Relationship Id="rId14" Type="http://schemas.openxmlformats.org/officeDocument/2006/relationships/image" Target="media/image1.jpeg" TargetMode="External"/><Relationship Id="rId15" Type="http://schemas.openxmlformats.org/officeDocument/2006/relationships/image" Target="media/image2.jpeg"/><Relationship Id="rId16" Type="http://schemas.openxmlformats.org/officeDocument/2006/relationships/image" Target="media/image2.jpeg" TargetMode="External"/><Relationship Id="rId17" Type="http://schemas.openxmlformats.org/officeDocument/2006/relationships/image" Target="media/image3.jpeg"/><Relationship Id="rId18" Type="http://schemas.openxmlformats.org/officeDocument/2006/relationships/image" Target="media/image3.jpeg" TargetMode="External"/></Relationships>
</file>