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телефакс (4742) 27-14-82</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 §оу.ги 11йр://11ре1бк.Га8.доу.ги</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ИП/6083/2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учреждение здравоохранения "Липецкая областная клиническая больница"</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1окЪ-2акирИ@уап4ех.ги, ро.1окЪ@Нре18к.ги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 Засецкий Станислав Алексеевич</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66" w:bottom="1231" w:left="1140" w:header="0" w:footer="3" w:gutter="0"/>
          <w:pgNumType w:start="1"/>
          <w:cols w:num="2" w:space="720" w:equalWidth="0">
            <w:col w:w="4224" w:space="1046"/>
            <w:col w:w="4824"/>
          </w:cols>
          <w:noEndnote/>
          <w:titlePg/>
          <w:rtlGutter w:val="0"/>
          <w:docGrid w:linePitch="360"/>
        </w:sectPr>
      </w:pPr>
      <w:r>
        <w:rPr>
          <w:color w:val="000000"/>
          <w:spacing w:val="0"/>
          <w:w w:val="100"/>
          <w:position w:val="0"/>
          <w:shd w:val="clear" w:color="auto" w:fill="auto"/>
          <w:lang w:val="ru-RU" w:eastAsia="ru-RU" w:bidi="ru-RU"/>
        </w:rPr>
        <w:t>^р-xа8е1:8ку@уап^еx.^и</w:t>
      </w:r>
    </w:p>
    <w:p>
      <w:pPr>
        <w:widowControl w:val="0"/>
        <w:spacing w:line="240" w:lineRule="exact"/>
        <w:rPr>
          <w:sz w:val="19"/>
          <w:szCs w:val="19"/>
        </w:rPr>
      </w:pPr>
    </w:p>
    <w:p>
      <w:pPr>
        <w:widowControl w:val="0"/>
        <w:spacing w:line="240" w:lineRule="exact"/>
        <w:rPr>
          <w:sz w:val="19"/>
          <w:szCs w:val="19"/>
        </w:rPr>
      </w:pPr>
    </w:p>
    <w:p>
      <w:pPr>
        <w:widowControl w:val="0"/>
        <w:spacing w:before="45" w:after="4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00" w:right="0" w:bottom="1201"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№048/06/106-848/2024</w:t>
      </w:r>
    </w:p>
    <w:p>
      <w:pPr>
        <w:pStyle w:val="Style14"/>
        <w:keepNext w:val="0"/>
        <w:keepLines w:val="0"/>
        <w:widowControl w:val="0"/>
        <w:shd w:val="clear" w:color="auto" w:fill="auto"/>
        <w:tabs>
          <w:tab w:pos="7483" w:val="left"/>
        </w:tabs>
        <w:bidi w:val="0"/>
        <w:spacing w:before="0" w:after="0" w:line="240" w:lineRule="auto"/>
        <w:ind w:left="0" w:right="0" w:firstLine="0"/>
        <w:jc w:val="both"/>
      </w:pPr>
      <w:r>
        <w:rPr>
          <w:color w:val="000000"/>
          <w:spacing w:val="0"/>
          <w:w w:val="100"/>
          <w:position w:val="0"/>
          <w:shd w:val="clear" w:color="auto" w:fill="auto"/>
          <w:lang w:val="ru-RU" w:eastAsia="ru-RU" w:bidi="ru-RU"/>
        </w:rPr>
        <w:t>24 сентября 2024 года</w:t>
        <w:tab/>
        <w:t>город Липецк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объявлена 24.09.2024 года.</w:t>
      </w:r>
    </w:p>
    <w:p>
      <w:pPr>
        <w:pStyle w:val="Style14"/>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26.09.2024 года.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в составе: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Комиссии: И.В. Поткина — руководитель управления,</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 председателя Комиссии: Т.Н. Ролдугина - начальник отдела контроля закупок и торгов,</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Т.С. Рябкова — заместитель начальника отдела контроля закупок и торгов,</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ГУЗ «Липецкая областная клиническая больница»: Терешиной Г.М. (по доверенности),</w:t>
      </w:r>
    </w:p>
    <w:p>
      <w:pPr>
        <w:pStyle w:val="Style14"/>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рассмотрев жалобу индивидуального предпринимателя Засецкого Станислава Алексеевича на положения извещения о проведении запроса котировок в электронной форме на поставку дезинфицирующего средства (реестровый номер 0346200002824000469) (далее - запрос котировок в электронной форме),</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Липецкое УФАС России, посредством ЕИС, поступила жалоба индивидуального предпринимателя Засецкого Станислава Алексеевича (далее- заявитель) на положения извещения о проведении запроса котировок в электронной форме (заказчик - ГУЗ «Липецкая областная клиническая больница»).</w:t>
      </w:r>
    </w:p>
    <w:p>
      <w:pPr>
        <w:pStyle w:val="Style14"/>
        <w:keepNext w:val="0"/>
        <w:keepLines w:val="0"/>
        <w:widowControl w:val="0"/>
        <w:shd w:val="clear" w:color="auto" w:fill="auto"/>
        <w:bidi w:val="0"/>
        <w:spacing w:before="0" w:after="340" w:line="240" w:lineRule="auto"/>
        <w:ind w:left="0" w:right="0" w:firstLine="6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Закон о контрактной</w:t>
      </w:r>
    </w:p>
    <w:p>
      <w:pPr>
        <w:pStyle w:val="Style19"/>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5"/>
        </w:rPr>
        <w:t>системе) и подана в срок, установленный частью 4 статьи 105 Закона о контрактной системе. В связи с этим, жалоба была принята Липецким УФАС России к рассмотрению.</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рассмотрения жалобы размещены Липецким УФАС России на официальном сайте Единой информационной системы в сфере закупок 11ир:///акирк1.до\'.П1 в разделе «Жалобы».</w:t>
      </w:r>
    </w:p>
    <w:p>
      <w:pPr>
        <w:pStyle w:val="Style14"/>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От заявителя поступило ходатайство о рассмотрении жалобы в его отсутствие.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Рассмотрение жалобы было назначено на 23.09.2024. Однако, с целью получения от заказчика дополнительных документов, в рассмотрении жалобы был объявлен перерыв на 24.09.2024.</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Как следует из доводов жалобы заявителя, заказчиком при проведении закупки допущены следующие нарушения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описании объекта закупки неправомерно установлено требование о совместимости закупаемого товара с моечно-дезинфицирующими машинами заказчика, подтвержденной производителем этих машин;</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извещении неправомерно не установлены ограничения допуска товаров в соответствии с Постановлением Правительства РФ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14"/>
        <w:keepNext w:val="0"/>
        <w:keepLines w:val="0"/>
        <w:widowControl w:val="0"/>
        <w:shd w:val="clear" w:color="auto" w:fill="auto"/>
        <w:bidi w:val="0"/>
        <w:spacing w:before="0" w:after="260" w:line="240" w:lineRule="auto"/>
        <w:ind w:left="0" w:right="0" w:firstLine="540"/>
        <w:jc w:val="both"/>
      </w:pPr>
      <w:r>
        <w:rPr>
          <w:color w:val="000000"/>
          <w:spacing w:val="0"/>
          <w:w w:val="100"/>
          <w:position w:val="0"/>
          <w:shd w:val="clear" w:color="auto" w:fill="auto"/>
          <w:lang w:val="ru-RU" w:eastAsia="ru-RU" w:bidi="ru-RU"/>
        </w:rPr>
        <w:t>Представитель заказчика с доводами жалобы заявителя не согласен.</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Рассмотрев жалобу и приложенные к ней материалы, а также другие документы (копии), представленные сторонами, выслушав мнение представителя заказчика, проведя внеплановую проверку на основании приказа Липецкого УФАС России, Комиссия Липецкого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запроса котировок в электронной форме на поставку дезинфицирующего средства (реестровый номер 0346200002824000469) с приложениями, с учетом внесенных изменений, размещено 17.09.2024 на официальном сайте Единой информационной системы в сфере закупок (далее- ЕИС)</w:t>
      </w:r>
      <w:r>
        <w:rPr>
          <w:color w:val="00008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Дата и время окончания срока подачи заявок </w:t>
      </w:r>
      <w:r>
        <w:rPr>
          <w:color w:val="909EB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24.09.2024 09:00,</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- 25.09.2024.</w:t>
      </w:r>
    </w:p>
    <w:p>
      <w:pPr>
        <w:pStyle w:val="Style14"/>
        <w:keepNext w:val="0"/>
        <w:keepLines w:val="0"/>
        <w:widowControl w:val="0"/>
        <w:shd w:val="clear" w:color="auto" w:fill="auto"/>
        <w:bidi w:val="0"/>
        <w:spacing w:before="0" w:after="260" w:line="240" w:lineRule="auto"/>
        <w:ind w:left="0" w:right="0" w:firstLine="540"/>
        <w:jc w:val="both"/>
      </w:pPr>
      <w:r>
        <w:rPr>
          <w:color w:val="000000"/>
          <w:spacing w:val="0"/>
          <w:w w:val="100"/>
          <w:position w:val="0"/>
          <w:shd w:val="clear" w:color="auto" w:fill="auto"/>
          <w:lang w:val="ru-RU" w:eastAsia="ru-RU" w:bidi="ru-RU"/>
        </w:rPr>
        <w:t>Начальная (максимальная) цена контракта составляет 576 000,00 руб.</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Рассмотрев довод жалобы заявителя о том, что в описании объекта закупки неправомерно установлено требование о совместимости закупаемого товара с моечно</w:t>
        <w:softHyphen/>
        <w:t>дезинфицирующими машинами заказчика, подтвержденной производителем этих машин, Комиссия Липецкого УФАС России признает его обоснованным, ввиду следующего.</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 в сфере закупок.</w:t>
      </w:r>
    </w:p>
    <w:p>
      <w:pPr>
        <w:pStyle w:val="Style14"/>
        <w:keepNext w:val="0"/>
        <w:keepLines w:val="0"/>
        <w:widowControl w:val="0"/>
        <w:shd w:val="clear" w:color="auto" w:fill="auto"/>
        <w:tabs>
          <w:tab w:leader="underscore" w:pos="6360" w:val="left"/>
          <w:tab w:leader="underscore" w:pos="1021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Электронный документ «Описание объекта закупки» содержит 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w:t>
      </w:r>
      <w:r>
        <w:rPr>
          <w:color w:val="000000"/>
          <w:spacing w:val="0"/>
          <w:w w:val="100"/>
          <w:position w:val="0"/>
          <w:u w:val="single"/>
          <w:shd w:val="clear" w:color="auto" w:fill="auto"/>
          <w:lang w:val="ru-RU" w:eastAsia="ru-RU" w:bidi="ru-RU"/>
        </w:rPr>
        <w:t>соответствие), в том числе:</w:t>
      </w:r>
      <w:r>
        <w:rPr>
          <w:color w:val="000000"/>
          <w:spacing w:val="0"/>
          <w:w w:val="100"/>
          <w:position w:val="0"/>
          <w:shd w:val="clear" w:color="auto" w:fill="auto"/>
          <w:lang w:val="ru-RU" w:eastAsia="ru-RU" w:bidi="ru-RU"/>
        </w:rPr>
        <w:tab/>
        <w:tab/>
      </w:r>
    </w:p>
    <w:tbl>
      <w:tblPr>
        <w:tblOverlap w:val="never"/>
        <w:jc w:val="center"/>
        <w:tblLayout w:type="fixed"/>
      </w:tblPr>
      <w:tblGrid>
        <w:gridCol w:w="744"/>
        <w:gridCol w:w="5611"/>
        <w:gridCol w:w="3859"/>
      </w:tblGrid>
      <w:tr>
        <w:trPr>
          <w:trHeight w:val="706"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№п/п</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функциональные, технические, качественные характеристики товара</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и единица измерения товара, наличие, значение и единица измерения характеристики товара</w:t>
            </w:r>
          </w:p>
        </w:tc>
      </w:tr>
      <w:tr>
        <w:trPr>
          <w:trHeight w:val="254" w:hRule="exact"/>
        </w:trPr>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40"/>
              <w:jc w:val="left"/>
              <w:rPr>
                <w:sz w:val="20"/>
                <w:szCs w:val="20"/>
              </w:rPr>
            </w:pPr>
            <w:r>
              <w:rPr>
                <w:b/>
                <w:bCs/>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u w:val="single"/>
                <w:shd w:val="clear" w:color="auto" w:fill="auto"/>
                <w:lang w:val="ru-RU" w:eastAsia="ru-RU" w:bidi="ru-RU"/>
              </w:rPr>
              <w:t>20.20.14.000-00000005</w:t>
            </w:r>
            <w:r>
              <w:rPr>
                <w:b/>
                <w:bCs/>
                <w:color w:val="000000"/>
                <w:spacing w:val="0"/>
                <w:w w:val="100"/>
                <w:position w:val="0"/>
                <w:sz w:val="20"/>
                <w:szCs w:val="20"/>
                <w:shd w:val="clear" w:color="auto" w:fill="auto"/>
                <w:lang w:val="ru-RU" w:eastAsia="ru-RU" w:bidi="ru-RU"/>
              </w:rPr>
              <w:t xml:space="preserve">. </w:t>
            </w:r>
            <w:r>
              <w:rPr>
                <w:color w:val="000000"/>
                <w:spacing w:val="0"/>
                <w:w w:val="100"/>
                <w:position w:val="0"/>
                <w:sz w:val="20"/>
                <w:szCs w:val="20"/>
                <w:shd w:val="clear" w:color="auto" w:fill="auto"/>
                <w:lang w:val="ru-RU" w:eastAsia="ru-RU" w:bidi="ru-RU"/>
              </w:rPr>
              <w:t>Средство дезинфицирующее. Литр</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360</w:t>
            </w:r>
          </w:p>
        </w:tc>
      </w:tr>
    </w:tbl>
    <w:p>
      <w:pPr>
        <w:widowControl w:val="0"/>
        <w:spacing w:line="1" w:lineRule="exact"/>
      </w:pPr>
    </w:p>
    <w:tbl>
      <w:tblPr>
        <w:tblOverlap w:val="never"/>
        <w:jc w:val="center"/>
        <w:tblLayout w:type="fixed"/>
      </w:tblPr>
      <w:tblGrid>
        <w:gridCol w:w="739"/>
        <w:gridCol w:w="5611"/>
        <w:gridCol w:w="3859"/>
      </w:tblGrid>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Форма выпуска</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Жидкость.</w:t>
            </w:r>
          </w:p>
        </w:tc>
      </w:tr>
      <w:tr>
        <w:trPr>
          <w:trHeight w:val="26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Жидкий концентрат.</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Дезинфекция высокого уровня гибких эндоскопов</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116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Средство</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Двухкомпонентная система, состоящую из базового компонента и активатора, смешиваемых перед применением для получения рабочего активированного раствора</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Активатор</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47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Использование средства в автоматизированных системах для очистки и дезинфекции гибких эндоскопов</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47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ru-RU" w:eastAsia="ru-RU" w:bidi="ru-RU"/>
              </w:rPr>
              <w:t>Совместимость с моечно-дезинфицирующими машинами Бе(го МахК подтвержденная производителем «БЕТКОХ»</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Наличие</w:t>
            </w:r>
          </w:p>
        </w:tc>
      </w:tr>
      <w:tr>
        <w:trPr>
          <w:trHeight w:val="451"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u w:val="single"/>
                <w:shd w:val="clear" w:color="auto" w:fill="auto"/>
                <w:lang w:val="ru-RU" w:eastAsia="ru-RU" w:bidi="ru-RU"/>
              </w:rPr>
              <w:t>20.20.14.000-00000005</w:t>
            </w:r>
            <w:r>
              <w:rPr>
                <w:color w:val="000000"/>
                <w:spacing w:val="0"/>
                <w:w w:val="100"/>
                <w:position w:val="0"/>
                <w:sz w:val="20"/>
                <w:szCs w:val="20"/>
                <w:shd w:val="clear" w:color="auto" w:fill="auto"/>
                <w:lang w:val="ru-RU" w:eastAsia="ru-RU" w:bidi="ru-RU"/>
              </w:rPr>
              <w:t>. Средство дезинфицирующее. Литр</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8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300</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Форма выпуска</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Жидкость.</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Мультиферментное дезинфицирующее средство.Концентрат.</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70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Средство содержит ферменты:амилазу, протеазу, липазу и целлюлазу в качестве действующих веществ, технологические компоненты, включая неионогенные ПАВ</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Упаковка: объемом, Литр</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&gt; 5</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рН средства, Ед</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&gt;6,0 и &lt;8,0</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Средство должно обладать утвержденными режимами</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r>
      <w:tr>
        <w:trPr>
          <w:trHeight w:val="480"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Совместимость с моечно-дезинфицирующими машинами Бе(го МахК подтвержденная производителем «БЕТКОХ»</w:t>
            </w: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Наличие</w:t>
            </w:r>
          </w:p>
        </w:tc>
      </w:tr>
    </w:tbl>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Как пояснил представитель заказчика, условие о совместимости с моечно</w:t>
        <w:softHyphen/>
        <w:t>дезинфицирующими машинами Ре1го ХХа^Ь обусловлено требованием, указанным в руководстве по эксплуатации моечно-дезинфицирующих машин, имеющихся у заказчика, а также содержится в информационном письме ООО «АС-МЕДИКАЛ», являющегося официальным представителем производителя медицинского оборудования и дезинфицирующих средств- «Рс1го НсаШк'агс Кппуа Запаха А.§.». Данные документы были представлены заказчиком на рассмотрение жалобы.</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Так, как следует из информационного письма ООО «АС-МЕДИКАЛ», в моющедезинфицирующих автоматических репроцессорах для гибких эндоскопов марки «Ре1го ХХа^Ь» (далее по тексту- МДМ «Ре1го УазЬ»), в соответствии с требованиями СанПиН 3.3686-21 "Санитарно-эпидемиологические требования по профилактике инфекционных болезней" п.3688, допускается использовать химические средства валидированные и указанные в эксплуатационной документации на МДМ «Ре1го УазЬ», а именно «ДЕТРО ОПА», «ДЕТРО ФОРТЕ», «ДЕТРО ЭНЗИМ» и «ДЕТРО АКТИВ», </w:t>
      </w:r>
      <w:r>
        <w:rPr>
          <w:color w:val="000000"/>
          <w:spacing w:val="0"/>
          <w:w w:val="100"/>
          <w:position w:val="0"/>
          <w:u w:val="single"/>
          <w:shd w:val="clear" w:color="auto" w:fill="auto"/>
          <w:lang w:val="ru-RU" w:eastAsia="ru-RU" w:bidi="ru-RU"/>
        </w:rPr>
        <w:t>производства компании «Ре1го Неа11Ьсаге Кппуа Запаха А.§.»</w:t>
      </w:r>
      <w:r>
        <w:rPr>
          <w:color w:val="000000"/>
          <w:spacing w:val="0"/>
          <w:w w:val="100"/>
          <w:position w:val="0"/>
          <w:shd w:val="clear" w:color="auto" w:fill="auto"/>
          <w:lang w:val="ru-RU" w:eastAsia="ru-RU" w:bidi="ru-RU"/>
        </w:rPr>
        <w:t xml:space="preserve">, Турция. Использование химических средств, не рекомендованных производителем МДМ, может привести к некачественной и неэффективной обработке эндоскопической техники, а также к порче деталей МДМ «Ре1го ХХазЬ». Гарантийные обязательства в таких случаях не распространяются в полной мере на поставленную модель МДМ «Ре1го ХХазЬ». </w:t>
      </w:r>
      <w:r>
        <w:rPr>
          <w:color w:val="000000"/>
          <w:spacing w:val="0"/>
          <w:w w:val="100"/>
          <w:position w:val="0"/>
          <w:u w:val="single"/>
          <w:shd w:val="clear" w:color="auto" w:fill="auto"/>
          <w:lang w:val="ru-RU" w:eastAsia="ru-RU" w:bidi="ru-RU"/>
        </w:rPr>
        <w:t>При использовании дезинфицирующих средств производства компании «Ре1го Неа11Ьсаге Кппуа Запаха А.8.,» Турция, гарантийные обязательства на МДМ «Ре1го ХХазЬ» продлеваются до 5 (пяти) лет</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Как следует из представленного заказчиком руководства по эксплуатации, дезинфектанты разных производителей могут быть несовместимы между собой, производитель машин предупреждает о возможном повреждении репроцессора и обрабатываемого эндоскопа </w:t>
      </w:r>
      <w:r>
        <w:rPr>
          <w:color w:val="000000"/>
          <w:spacing w:val="0"/>
          <w:w w:val="100"/>
          <w:position w:val="0"/>
          <w:u w:val="single"/>
          <w:shd w:val="clear" w:color="auto" w:fill="auto"/>
          <w:lang w:val="ru-RU" w:eastAsia="ru-RU" w:bidi="ru-RU"/>
        </w:rPr>
        <w:t>при использовании детергентов разных производителей</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Однако в данном руководстве не содержится запрета на применение дезинфицирующего средства иного производителя. Напротив, возможность применения </w:t>
      </w:r>
      <w:r>
        <w:rPr>
          <w:color w:val="000000"/>
          <w:spacing w:val="0"/>
          <w:w w:val="100"/>
          <w:position w:val="0"/>
          <w:shd w:val="clear" w:color="auto" w:fill="auto"/>
          <w:lang w:val="ru-RU" w:eastAsia="ru-RU" w:bidi="ru-RU"/>
        </w:rPr>
        <w:t>средства иного производителя предусмотрена производителем с учетом определенных правил, в частности: «При смене типа дезинфектанта слейте остатки предыдущего и тщательно промойте бак, помпу концентрированного дезинфектанта и трубки подачи».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Ключевой особенностью является недопущение смешения в машине дезинфектантов разных производителей.</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Частью 1 ст.33 Закона о контрактной системе установлено, что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w:t>
      </w:r>
      <w:r>
        <w:rPr>
          <w:i/>
          <w:iCs/>
          <w:color w:val="000000"/>
          <w:spacing w:val="0"/>
          <w:w w:val="100"/>
          <w:position w:val="0"/>
          <w:shd w:val="clear" w:color="auto" w:fill="auto"/>
          <w:lang w:val="ru-RU" w:eastAsia="ru-RU" w:bidi="ru-RU"/>
        </w:rPr>
        <w:t>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r>
        <w:rPr>
          <w:color w:val="000000"/>
          <w:spacing w:val="0"/>
          <w:w w:val="100"/>
          <w:position w:val="0"/>
          <w:shd w:val="clear" w:color="auto" w:fill="auto"/>
          <w:lang w:val="ru-RU" w:eastAsia="ru-RU" w:bidi="ru-RU"/>
        </w:rPr>
        <w:t>,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Возможность применения данного правила об указании товара определенного производителя в связи его несовместимостью с имеющимися у заказчика дезинфицирующими машинами [)е1го ХХа^Ь исключается, поскольку представленные заказчиком материалы опровергают несовместимость дезинфицирующих машин [)е1го ХХа^Ь с дезинфицирующими средствами иных производителей.</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Заказчиком также не представлены документы и сведения, подтверждающие, что совокупности установленных требований в отношении закупаемых товаров соответствуют товары иных производителей, помимо «1)е1го 11еа1111саге Кппуа Банаха А.§.» Турция.</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Также в представленном заказчиком руководстве не содержится требований об обязательном применении в машине дезинфицирующего средства, произведенного иным производителем, но получившего некое подтверждение о совместимости от производителя &lt;^ЕТКОХ».</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Производитель оборудования &lt;ЮЕТКОХ» являются производителем собственных дезинфицирующих средств, указанных в руководстве по эксплуатации машин. При этом порядок обозначенного заказчиком «подтверждения совместимости» в представленных документах не содержится.</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Частью 2 ст.8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Следовательно, заказчик включил в описание объекта закупки требования к товарам, влекущие ограничение количества участников закупки. Действия заказчика нарушают п.1 ч.2 ст.42 Закона о контрактной системе и содержат признаки состава административного правонарушения, предусмотренного ч.4.1 ст.7.30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Рассмотрев довод жалобы заявителя о том, что в извещении неправомерно не</w:t>
        <w:br w:type="page"/>
      </w:r>
      <w:r>
        <w:rPr>
          <w:color w:val="000000"/>
          <w:spacing w:val="0"/>
          <w:w w:val="100"/>
          <w:position w:val="0"/>
          <w:shd w:val="clear" w:color="auto" w:fill="auto"/>
          <w:lang w:val="ru-RU" w:eastAsia="ru-RU" w:bidi="ru-RU"/>
        </w:rPr>
        <w:t>установлены ограничения допуска товаров в соответствии с Постановлением Правительства РФ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Комиссия Липецкого УФАС России признает его необоснованным, ввиду следующего.</w:t>
      </w:r>
    </w:p>
    <w:p>
      <w:pPr>
        <w:pStyle w:val="Style14"/>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Как установлено, заказчиком 17.09.2024 внесены изменения в извещение о проведении запроса котировок в электронной форме, которыми установлены ограничения допуска товаров в соответствии с Постановлением Правительства РФ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Руководствуясь ст.99, ст.105, ст.106 Закона о контрактной системе, Комиссия Липецкого УФАС России</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4"/>
        <w:keepNext w:val="0"/>
        <w:keepLines w:val="0"/>
        <w:widowControl w:val="0"/>
        <w:numPr>
          <w:ilvl w:val="0"/>
          <w:numId w:val="1"/>
        </w:numPr>
        <w:shd w:val="clear" w:color="auto" w:fill="auto"/>
        <w:tabs>
          <w:tab w:pos="715" w:val="left"/>
        </w:tabs>
        <w:bidi w:val="0"/>
        <w:spacing w:before="0" w:after="0" w:line="240" w:lineRule="auto"/>
        <w:ind w:left="0" w:right="0" w:firstLine="320"/>
        <w:jc w:val="both"/>
      </w:pPr>
      <w:r>
        <w:rPr>
          <w:color w:val="000000"/>
          <w:spacing w:val="0"/>
          <w:w w:val="100"/>
          <w:position w:val="0"/>
          <w:shd w:val="clear" w:color="auto" w:fill="auto"/>
          <w:lang w:val="ru-RU" w:eastAsia="ru-RU" w:bidi="ru-RU"/>
        </w:rPr>
        <w:t>Признать жалобу индивидуального предпринимателя Засецкого Станислава Алексеевича на положения извещения о проведении запроса котировок в электронной форме на поставку дезинфицирующего средства (реестровый номер 0346200002824000469) обоснованной в части довода № 1.</w:t>
      </w:r>
    </w:p>
    <w:p>
      <w:pPr>
        <w:pStyle w:val="Style14"/>
        <w:keepNext w:val="0"/>
        <w:keepLines w:val="0"/>
        <w:widowControl w:val="0"/>
        <w:numPr>
          <w:ilvl w:val="0"/>
          <w:numId w:val="1"/>
        </w:numPr>
        <w:shd w:val="clear" w:color="auto" w:fill="auto"/>
        <w:tabs>
          <w:tab w:pos="715" w:val="left"/>
        </w:tabs>
        <w:bidi w:val="0"/>
        <w:spacing w:before="0" w:after="0" w:line="240" w:lineRule="auto"/>
        <w:ind w:left="0" w:right="0" w:firstLine="320"/>
        <w:jc w:val="both"/>
      </w:pPr>
      <w:r>
        <w:rPr>
          <w:color w:val="000000"/>
          <w:spacing w:val="0"/>
          <w:w w:val="100"/>
          <w:position w:val="0"/>
          <w:shd w:val="clear" w:color="auto" w:fill="auto"/>
          <w:lang w:val="ru-RU" w:eastAsia="ru-RU" w:bidi="ru-RU"/>
        </w:rPr>
        <w:t>В действиях заказчика установлено нарушение п.1 ч.2 ст.42 Закона о контрактной системе.</w:t>
      </w:r>
    </w:p>
    <w:p>
      <w:pPr>
        <w:pStyle w:val="Style14"/>
        <w:keepNext w:val="0"/>
        <w:keepLines w:val="0"/>
        <w:widowControl w:val="0"/>
        <w:numPr>
          <w:ilvl w:val="0"/>
          <w:numId w:val="1"/>
        </w:numPr>
        <w:shd w:val="clear" w:color="auto" w:fill="auto"/>
        <w:tabs>
          <w:tab w:pos="715" w:val="left"/>
        </w:tabs>
        <w:bidi w:val="0"/>
        <w:spacing w:before="0" w:after="0" w:line="240" w:lineRule="auto"/>
        <w:ind w:left="0" w:right="0" w:firstLine="320"/>
        <w:jc w:val="both"/>
      </w:pPr>
      <w:r>
        <w:rPr>
          <w:color w:val="000000"/>
          <w:spacing w:val="0"/>
          <w:w w:val="100"/>
          <w:position w:val="0"/>
          <w:shd w:val="clear" w:color="auto" w:fill="auto"/>
          <w:lang w:val="ru-RU" w:eastAsia="ru-RU" w:bidi="ru-RU"/>
        </w:rPr>
        <w:t>Выдать предписание об устранении выявленного нарушения Закона о контрактной системе.</w:t>
      </w:r>
    </w:p>
    <w:p>
      <w:pPr>
        <w:pStyle w:val="Style14"/>
        <w:keepNext w:val="0"/>
        <w:keepLines w:val="0"/>
        <w:widowControl w:val="0"/>
        <w:numPr>
          <w:ilvl w:val="0"/>
          <w:numId w:val="1"/>
        </w:numPr>
        <w:shd w:val="clear" w:color="auto" w:fill="auto"/>
        <w:tabs>
          <w:tab w:pos="715" w:val="left"/>
        </w:tabs>
        <w:bidi w:val="0"/>
        <w:spacing w:before="0" w:after="0" w:line="240" w:lineRule="auto"/>
        <w:ind w:left="0" w:right="0" w:firstLine="320"/>
        <w:jc w:val="both"/>
      </w:pPr>
      <w:r>
        <w:rPr>
          <w:color w:val="000000"/>
          <w:spacing w:val="0"/>
          <w:w w:val="100"/>
          <w:position w:val="0"/>
          <w:shd w:val="clear" w:color="auto" w:fill="auto"/>
          <w:lang w:val="ru-RU" w:eastAsia="ru-RU" w:bidi="ru-RU"/>
        </w:rPr>
        <w:t>Передать материалы жалобы должностному лицу Липецкого УФАС России для рассмотрения вопроса о возбуждении административного производства.</w:t>
      </w:r>
    </w:p>
    <w:p>
      <w:pPr>
        <w:pStyle w:val="Style14"/>
        <w:keepNext w:val="0"/>
        <w:keepLines w:val="0"/>
        <w:widowControl w:val="0"/>
        <w:shd w:val="clear" w:color="auto" w:fill="auto"/>
        <w:bidi w:val="0"/>
        <w:spacing w:before="0" w:after="0" w:line="276" w:lineRule="auto"/>
        <w:ind w:left="0" w:right="0" w:firstLine="32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1000" w:right="535" w:bottom="1201" w:left="1099" w:header="0" w:footer="3" w:gutter="0"/>
          <w:cols w:space="720"/>
          <w:noEndnote/>
          <w:rtlGutter w:val="0"/>
          <w:docGrid w:linePitch="360"/>
        </w:sectPr>
      </w:pPr>
      <w:r>
        <mc:AlternateContent>
          <mc:Choice Requires="wps">
            <w:drawing>
              <wp:anchor distT="114300" distB="237490" distL="0" distR="0" simplePos="0" relativeHeight="125829378" behindDoc="0" locked="0" layoutInCell="1" allowOverlap="1">
                <wp:simplePos x="0" y="0"/>
                <wp:positionH relativeFrom="page">
                  <wp:posOffset>740410</wp:posOffset>
                </wp:positionH>
                <wp:positionV relativeFrom="paragraph">
                  <wp:posOffset>114300</wp:posOffset>
                </wp:positionV>
                <wp:extent cx="1771015" cy="234950"/>
                <wp:wrapTopAndBottom/>
                <wp:docPr id="5" name="Shape 5"/>
                <a:graphic xmlns:a="http://schemas.openxmlformats.org/drawingml/2006/main">
                  <a:graphicData uri="http://schemas.microsoft.com/office/word/2010/wordprocessingShape">
                    <wps:wsp>
                      <wps:cNvSpPr txBox="1"/>
                      <wps:spPr>
                        <a:xfrm>
                          <a:ext cx="177101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300000000000004pt;margin-top:9.pt;width:139.45000000000002pt;height:18.5pt;z-index:-125829375;mso-wrap-distance-left:0;mso-wrap-distance-top:9.pt;mso-wrap-distance-right:0;mso-wrap-distance-bottom:18.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7325" distB="0" distL="0" distR="1789430" simplePos="0" relativeHeight="125829380" behindDoc="0" locked="0" layoutInCell="1" allowOverlap="1">
            <wp:simplePos x="0" y="0"/>
            <wp:positionH relativeFrom="page">
              <wp:posOffset>2843530</wp:posOffset>
            </wp:positionH>
            <wp:positionV relativeFrom="paragraph">
              <wp:posOffset>187325</wp:posOffset>
            </wp:positionV>
            <wp:extent cx="365760" cy="4025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6576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3273425</wp:posOffset>
                </wp:positionH>
                <wp:positionV relativeFrom="paragraph">
                  <wp:posOffset>278765</wp:posOffset>
                </wp:positionV>
                <wp:extent cx="1725295" cy="255905"/>
                <wp:wrapNone/>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57.75pt;margin-top:21.949999999999999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37490" distL="0" distR="0" simplePos="0" relativeHeight="125829381" behindDoc="0" locked="0" layoutInCell="1" allowOverlap="1">
                <wp:simplePos x="0" y="0"/>
                <wp:positionH relativeFrom="page">
                  <wp:posOffset>6205220</wp:posOffset>
                </wp:positionH>
                <wp:positionV relativeFrom="paragraph">
                  <wp:posOffset>114300</wp:posOffset>
                </wp:positionV>
                <wp:extent cx="987425" cy="234950"/>
                <wp:wrapTopAndBottom/>
                <wp:docPr id="11" name="Shape 11"/>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7" type="#_x0000_t202" style="position:absolute;margin-left:488.60000000000002pt;margin-top:9.pt;width:77.75pt;height:18.5pt;z-index:-125829372;mso-wrap-distance-left:0;mso-wrap-distance-top:9.pt;mso-wrap-distance-right:0;mso-wrap-distance-bottom:18.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widowControl w:val="0"/>
        <w:spacing w:line="1" w:lineRule="exact"/>
      </w:pPr>
      <w:r>
        <w:drawing>
          <wp:anchor distT="64135" distB="0" distL="114300" distR="4095115" simplePos="0" relativeHeight="125829383" behindDoc="0" locked="0" layoutInCell="1" allowOverlap="1">
            <wp:simplePos x="0" y="0"/>
            <wp:positionH relativeFrom="page">
              <wp:posOffset>2861945</wp:posOffset>
            </wp:positionH>
            <wp:positionV relativeFrom="paragraph">
              <wp:posOffset>600710</wp:posOffset>
            </wp:positionV>
            <wp:extent cx="353695" cy="536575"/>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3319145</wp:posOffset>
                </wp:positionH>
                <wp:positionV relativeFrom="paragraph">
                  <wp:posOffset>1003300</wp:posOffset>
                </wp:positionV>
                <wp:extent cx="1280160" cy="103505"/>
                <wp:wrapNone/>
                <wp:docPr id="15" name="Shape 1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61.35000000000002pt;margin-top:79.pt;width:100.8pt;height:8.15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3276600</wp:posOffset>
                </wp:positionH>
                <wp:positionV relativeFrom="paragraph">
                  <wp:posOffset>692150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8.pt;margin-top:54.5pt;width:135.59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365760" distL="3354070" distR="114935" simplePos="0" relativeHeight="125829384" behindDoc="0" locked="0" layoutInCell="1" allowOverlap="1">
                <wp:simplePos x="0" y="0"/>
                <wp:positionH relativeFrom="page">
                  <wp:posOffset>6101715</wp:posOffset>
                </wp:positionH>
                <wp:positionV relativeFrom="paragraph">
                  <wp:posOffset>536575</wp:posOffset>
                </wp:positionV>
                <wp:extent cx="1090930" cy="234950"/>
                <wp:wrapSquare wrapText="left"/>
                <wp:docPr id="19" name="Shape 19"/>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5" type="#_x0000_t202" style="position:absolute;margin-left:480.44999999999999pt;margin-top:42.25pt;width:85.900000000000006pt;height:18.5pt;z-index:-125829369;mso-wrap-distance-left:264.10000000000002pt;mso-wrap-distance-right:9.0500000000000007pt;mso-wrap-distance-bottom:28.8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square" side="left" anchorx="page"/>
              </v:shape>
            </w:pict>
          </mc:Fallback>
        </mc:AlternateContent>
      </w:r>
      <w:r>
        <mc:AlternateContent>
          <mc:Choice Requires="wps">
            <w:drawing>
              <wp:anchor distT="25400" distB="350520" distL="114300" distR="5405120" simplePos="0" relativeHeight="125829386" behindDoc="0" locked="0" layoutInCell="1" allowOverlap="1">
                <wp:simplePos x="0" y="0"/>
                <wp:positionH relativeFrom="page">
                  <wp:posOffset>737235</wp:posOffset>
                </wp:positionH>
                <wp:positionV relativeFrom="paragraph">
                  <wp:posOffset>1557655</wp:posOffset>
                </wp:positionV>
                <wp:extent cx="1164590" cy="234950"/>
                <wp:wrapTopAndBottom/>
                <wp:docPr id="21" name="Shape 21"/>
                <a:graphic xmlns:a="http://schemas.openxmlformats.org/drawingml/2006/main">
                  <a:graphicData uri="http://schemas.microsoft.com/office/word/2010/wordprocessingShape">
                    <wps:wsp>
                      <wps:cNvSpPr txBox="1"/>
                      <wps:spPr>
                        <a:xfrm>
                          <a:ext cx="116459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7" type="#_x0000_t202" style="position:absolute;margin-left:58.050000000000004pt;margin-top:122.65000000000001pt;width:91.700000000000003pt;height:18.5pt;z-index:-125829367;mso-wrap-distance-left:9.pt;mso-wrap-distance-top:2.pt;mso-wrap-distance-right:425.60000000000002pt;mso-wrap-distance-bottom:27.6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w:drawing>
          <wp:anchor distT="77470" distB="0" distL="2239010" distR="4094480" simplePos="0" relativeHeight="125829388" behindDoc="0" locked="0" layoutInCell="1" allowOverlap="1">
            <wp:simplePos x="0" y="0"/>
            <wp:positionH relativeFrom="page">
              <wp:posOffset>2861945</wp:posOffset>
            </wp:positionH>
            <wp:positionV relativeFrom="paragraph">
              <wp:posOffset>1609725</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3319145</wp:posOffset>
                </wp:positionH>
                <wp:positionV relativeFrom="paragraph">
                  <wp:posOffset>2009140</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61.35000000000002pt;margin-top:158.20000000000002pt;width:100.8pt;height:8.15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3276600</wp:posOffset>
                </wp:positionH>
                <wp:positionV relativeFrom="paragraph">
                  <wp:posOffset>1697990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58.pt;margin-top:133.69999999999999pt;width:135.59999999999999pt;height:20.15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 distB="350520" distL="5673725" distR="114300" simplePos="0" relativeHeight="125829389" behindDoc="0" locked="0" layoutInCell="1" allowOverlap="1">
                <wp:simplePos x="0" y="0"/>
                <wp:positionH relativeFrom="page">
                  <wp:posOffset>6296660</wp:posOffset>
                </wp:positionH>
                <wp:positionV relativeFrom="paragraph">
                  <wp:posOffset>1557655</wp:posOffset>
                </wp:positionV>
                <wp:extent cx="895985" cy="234950"/>
                <wp:wrapTopAndBottom/>
                <wp:docPr id="29" name="Shape 29"/>
                <a:graphic xmlns:a="http://schemas.openxmlformats.org/drawingml/2006/main">
                  <a:graphicData uri="http://schemas.microsoft.com/office/word/2010/wordprocessingShape">
                    <wps:wsp>
                      <wps:cNvSpPr txBox="1"/>
                      <wps:spPr>
                        <a:xfrm>
                          <a:ext cx="89598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Т.С. Рябкова</w:t>
                            </w:r>
                          </w:p>
                        </w:txbxContent>
                      </wps:txbx>
                      <wps:bodyPr wrap="none" lIns="0" tIns="0" rIns="0" bIns="0">
                        <a:noAutoFit/>
                      </wps:bodyPr>
                    </wps:wsp>
                  </a:graphicData>
                </a:graphic>
              </wp:anchor>
            </w:drawing>
          </mc:Choice>
          <mc:Fallback>
            <w:pict>
              <v:shape id="_x0000_s1055" type="#_x0000_t202" style="position:absolute;margin-left:495.80000000000001pt;margin-top:122.65000000000001pt;width:70.549999999999997pt;height:18.5pt;z-index:-125829364;mso-wrap-distance-left:446.75pt;mso-wrap-distance-top:2.pt;mso-wrap-distance-right:9.pt;mso-wrap-distance-bottom:27.6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Т.С. Рябкова</w:t>
                      </w:r>
                    </w:p>
                  </w:txbxContent>
                </v:textbox>
                <w10:wrap type="topAndBottom" anchorx="page"/>
              </v:shape>
            </w:pict>
          </mc:Fallback>
        </mc:AlternateContent>
      </w:r>
    </w:p>
    <w:p>
      <w:pPr>
        <w:pStyle w:val="Style3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717171"/>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Поткина Ирина Владимировна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75ВВО61С51608АВЕ1АА67874Р2Е2О9Е9</w:t>
      </w:r>
    </w:p>
    <w:p>
      <w:pPr>
        <w:pStyle w:val="Style33"/>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03.10.2023 </w:t>
      </w:r>
      <w:r>
        <w:rPr>
          <w:color w:val="717171"/>
          <w:spacing w:val="0"/>
          <w:w w:val="100"/>
          <w:position w:val="0"/>
          <w:shd w:val="clear" w:color="auto" w:fill="auto"/>
          <w:lang w:val="ru-RU" w:eastAsia="ru-RU" w:bidi="ru-RU"/>
        </w:rPr>
        <w:t>по 26.12.2024</w:t>
      </w:r>
    </w:p>
    <w:p>
      <w:pPr>
        <w:pStyle w:val="Style14"/>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p>
      <w:pPr>
        <w:pStyle w:val="Style3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Ролдугина Татьяна Николаевна</w:t>
      </w:r>
    </w:p>
    <w:p>
      <w:pPr>
        <w:pStyle w:val="Style33"/>
        <w:keepNext w:val="0"/>
        <w:keepLines w:val="0"/>
        <w:widowControl w:val="0"/>
        <w:shd w:val="clear" w:color="auto" w:fill="auto"/>
        <w:bidi w:val="0"/>
        <w:spacing w:before="0" w:after="0" w:line="240" w:lineRule="auto"/>
        <w:ind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610Е27024ВЕВ34А450198В5А4464784Е</w:t>
      </w:r>
    </w:p>
    <w:p>
      <w:pPr>
        <w:pStyle w:val="Style33"/>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110" w:right="541" w:bottom="2355" w:left="1101" w:header="0" w:footer="3" w:gutter="0"/>
          <w:cols w:space="720"/>
          <w:noEndnote/>
          <w:rtlGutter w:val="0"/>
          <w:docGrid w:linePitch="360"/>
        </w:sectPr>
      </w:pPr>
      <w:r>
        <w:rPr>
          <w:color w:val="40404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04040"/>
          <w:spacing w:val="0"/>
          <w:w w:val="100"/>
          <w:position w:val="0"/>
          <w:shd w:val="clear" w:color="auto" w:fill="auto"/>
          <w:lang w:val="ru-RU" w:eastAsia="ru-RU" w:bidi="ru-RU"/>
        </w:rPr>
        <w:t xml:space="preserve">18.03.2024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11.06.2025</w:t>
      </w:r>
    </w:p>
    <w:p>
      <w:pPr>
        <w:pStyle w:val="Style3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Рябкова Татьяна Сергеевна</w:t>
      </w:r>
    </w:p>
    <w:p>
      <w:pPr>
        <w:pStyle w:val="Style33"/>
        <w:keepNext w:val="0"/>
        <w:keepLines w:val="0"/>
        <w:widowControl w:val="0"/>
        <w:shd w:val="clear" w:color="auto" w:fill="auto"/>
        <w:bidi w:val="0"/>
        <w:spacing w:before="0" w:after="0" w:line="240" w:lineRule="auto"/>
        <w:ind w:left="0" w:right="0" w:firstLine="0"/>
        <w:jc w:val="center"/>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4ЕАС8ВЗА6В794913ВЕ30С11О87С737Е2</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0404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19.03.2024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12.06.2025</w:t>
      </w:r>
    </w:p>
    <w:sectPr>
      <w:footnotePr>
        <w:pos w:val="pageBottom"/>
        <w:numFmt w:val="decimal"/>
        <w:numRestart w:val="continuous"/>
      </w:footnotePr>
      <w:type w:val="continuous"/>
      <w:pgSz w:w="11900" w:h="16840"/>
      <w:pgMar w:top="1110" w:right="54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9994265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2024-8187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6.9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2024-8187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2024-8187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2024-8187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32">
    <w:name w:val="Основной текст (5)_"/>
    <w:basedOn w:val="DefaultParagraphFont"/>
    <w:link w:val="Style31"/>
    <w:rPr>
      <w:rFonts w:ascii="Georgia" w:eastAsia="Georgia" w:hAnsi="Georgia" w:cs="Georgia"/>
      <w:b w:val="0"/>
      <w:bCs w:val="0"/>
      <w:i w:val="0"/>
      <w:iCs w:val="0"/>
      <w:smallCaps w:val="0"/>
      <w:strike w:val="0"/>
      <w:color w:val="EBEBEB"/>
      <w:sz w:val="12"/>
      <w:szCs w:val="12"/>
      <w:u w:val="none"/>
    </w:rPr>
  </w:style>
  <w:style w:type="character" w:customStyle="1" w:styleId="CharStyle34">
    <w:name w:val="Основной текст (2)_"/>
    <w:basedOn w:val="DefaultParagraphFont"/>
    <w:link w:val="Style33"/>
    <w:rPr>
      <w:rFonts w:ascii="Arial" w:eastAsia="Arial" w:hAnsi="Arial" w:cs="Arial"/>
      <w:b w:val="0"/>
      <w:bCs w:val="0"/>
      <w:i w:val="0"/>
      <w:iCs w:val="0"/>
      <w:smallCaps w:val="0"/>
      <w:strike w:val="0"/>
      <w:color w:val="5A5A5A"/>
      <w:sz w:val="12"/>
      <w:szCs w:val="12"/>
      <w:u w:val="none"/>
    </w:rPr>
  </w:style>
  <w:style w:type="paragraph" w:customStyle="1" w:styleId="Style2">
    <w:name w:val="Основной текст (3)"/>
    <w:basedOn w:val="Normal"/>
    <w:link w:val="CharStyle3"/>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1">
    <w:name w:val="Основной текст (5)"/>
    <w:basedOn w:val="Normal"/>
    <w:link w:val="CharStyle32"/>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33">
    <w:name w:val="Основной текст (2)"/>
    <w:basedOn w:val="Normal"/>
    <w:link w:val="CharStyle34"/>
    <w:pPr>
      <w:widowControl w:val="0"/>
      <w:shd w:val="clear" w:color="auto" w:fill="auto"/>
      <w:ind w:left="3420"/>
    </w:pPr>
    <w:rPr>
      <w:rFonts w:ascii="Arial" w:eastAsia="Arial" w:hAnsi="Arial" w:cs="Arial"/>
      <w:b w:val="0"/>
      <w:bCs w:val="0"/>
      <w:i w:val="0"/>
      <w:iCs w:val="0"/>
      <w:smallCaps w:val="0"/>
      <w:strike w:val="0"/>
      <w:color w:val="5A5A5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