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е</w:t>
      </w:r>
    </w:p>
    <w:p>
      <w:pPr>
        <w:pStyle w:val="Style7"/>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10"/>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Амурской области</w:t>
      </w:r>
    </w:p>
    <w:p>
      <w:pPr>
        <w:pStyle w:val="Style7"/>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Амурская, 150, г. Благовещенск</w:t>
      </w:r>
    </w:p>
    <w:p>
      <w:pPr>
        <w:pStyle w:val="Style7"/>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Амурская область, 675000</w:t>
        <w:br/>
        <w:t>тел. (4162) 52-00-07, факс (4162) 52-00-35</w:t>
        <w:br/>
        <w:t>е-таП: 1о28@Й8.§оу.ги</w:t>
      </w:r>
    </w:p>
    <w:p>
      <w:pPr>
        <w:pStyle w:val="Style12"/>
        <w:keepNext/>
        <w:keepLines/>
        <w:widowControl w:val="0"/>
        <w:shd w:val="clear" w:color="auto" w:fill="auto"/>
        <w:tabs>
          <w:tab w:pos="1843" w:val="left"/>
        </w:tabs>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2</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7.09.2024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МП/3932/2</w:t>
      </w:r>
      <w:r>
        <w:rPr>
          <w:color w:val="000000"/>
          <w:spacing w:val="0"/>
          <w:w w:val="100"/>
          <w:position w:val="0"/>
          <w:u w:val="none"/>
          <w:shd w:val="clear" w:color="auto" w:fill="auto"/>
          <w:lang w:val="ru-RU" w:eastAsia="ru-RU" w:bidi="ru-RU"/>
        </w:rPr>
        <w:t>4</w:t>
      </w:r>
      <w:bookmarkEnd w:id="0"/>
    </w:p>
    <w:p>
      <w:pPr>
        <w:pStyle w:val="Style10"/>
        <w:keepNext w:val="0"/>
        <w:keepLines w:val="0"/>
        <w:widowControl w:val="0"/>
        <w:shd w:val="clear" w:color="auto" w:fill="auto"/>
        <w:bidi w:val="0"/>
        <w:spacing w:before="0" w:after="620" w:line="264"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0"/>
        <w:keepNext w:val="0"/>
        <w:keepLines w:val="0"/>
        <w:widowControl w:val="0"/>
        <w:shd w:val="clear" w:color="auto" w:fill="auto"/>
        <w:bidi w:val="0"/>
        <w:spacing w:before="0" w:after="0" w:line="240" w:lineRule="auto"/>
        <w:ind w:left="0" w:right="0" w:firstLine="0"/>
        <w:jc w:val="left"/>
        <w:rPr>
          <w:sz w:val="20"/>
          <w:szCs w:val="20"/>
        </w:rPr>
      </w:pPr>
      <w:r>
        <w:rPr>
          <w:b w:val="0"/>
          <w:bCs w:val="0"/>
          <w:color w:val="000000"/>
          <w:spacing w:val="0"/>
          <w:w w:val="100"/>
          <w:position w:val="0"/>
          <w:sz w:val="20"/>
          <w:szCs w:val="20"/>
          <w:shd w:val="clear" w:color="auto" w:fill="auto"/>
          <w:lang w:val="ru-RU" w:eastAsia="ru-RU" w:bidi="ru-RU"/>
        </w:rPr>
        <w:t>Решение по делу № 028/06/106-744/2024</w:t>
      </w:r>
    </w:p>
    <w:p>
      <w:pPr>
        <w:pStyle w:val="Style17"/>
        <w:keepNext w:val="0"/>
        <w:keepLines w:val="0"/>
        <w:widowControl w:val="0"/>
        <w:shd w:val="clear" w:color="auto" w:fill="auto"/>
        <w:bidi w:val="0"/>
        <w:spacing w:before="0" w:after="260" w:line="240" w:lineRule="auto"/>
        <w:ind w:left="0" w:right="0" w:firstLine="0"/>
        <w:jc w:val="both"/>
      </w:pPr>
      <w:r>
        <w:rPr>
          <w:color w:val="000000"/>
          <w:spacing w:val="0"/>
          <w:w w:val="100"/>
          <w:position w:val="0"/>
          <w:shd w:val="clear" w:color="auto" w:fill="auto"/>
          <w:lang w:val="ru-RU" w:eastAsia="ru-RU" w:bidi="ru-RU"/>
        </w:rPr>
        <w:t>Общество с ограниченной ответственностью «Ника» ооошка2022@таП.ги</w:t>
      </w:r>
    </w:p>
    <w:p>
      <w:pPr>
        <w:pStyle w:val="Style17"/>
        <w:keepNext w:val="0"/>
        <w:keepLines w:val="0"/>
        <w:widowControl w:val="0"/>
        <w:shd w:val="clear" w:color="auto" w:fill="auto"/>
        <w:bidi w:val="0"/>
        <w:spacing w:before="0" w:after="260" w:line="240" w:lineRule="auto"/>
        <w:ind w:left="0" w:right="0" w:firstLine="0"/>
        <w:jc w:val="both"/>
      </w:pPr>
      <w:r>
        <w:rPr>
          <w:color w:val="000000"/>
          <w:spacing w:val="0"/>
          <w:w w:val="100"/>
          <w:position w:val="0"/>
          <w:shd w:val="clear" w:color="auto" w:fill="auto"/>
          <w:lang w:val="ru-RU" w:eastAsia="ru-RU" w:bidi="ru-RU"/>
        </w:rPr>
        <w:t>Управление государственного заказа Амурской области ахк@дх.атигоЫ.ги</w:t>
      </w:r>
    </w:p>
    <w:p>
      <w:pPr>
        <w:pStyle w:val="Style17"/>
        <w:keepNext w:val="0"/>
        <w:keepLines w:val="0"/>
        <w:widowControl w:val="0"/>
        <w:shd w:val="clear" w:color="auto" w:fill="auto"/>
        <w:bidi w:val="0"/>
        <w:spacing w:before="0" w:after="260" w:line="240" w:lineRule="auto"/>
        <w:ind w:left="0" w:right="0" w:firstLine="0"/>
        <w:jc w:val="both"/>
      </w:pPr>
      <w:r>
        <w:rPr>
          <w:color w:val="000000"/>
          <w:spacing w:val="0"/>
          <w:w w:val="100"/>
          <w:position w:val="0"/>
          <w:shd w:val="clear" w:color="auto" w:fill="auto"/>
          <w:lang w:val="ru-RU" w:eastAsia="ru-RU" w:bidi="ru-RU"/>
        </w:rPr>
        <w:t>ИП Цыганко Анастасия Владимировна а_18удапко@т1:ете1:.ги</w:t>
      </w:r>
    </w:p>
    <w:p>
      <w:pPr>
        <w:pStyle w:val="Style17"/>
        <w:keepNext w:val="0"/>
        <w:keepLines w:val="0"/>
        <w:widowControl w:val="0"/>
        <w:shd w:val="clear" w:color="auto" w:fill="auto"/>
        <w:bidi w:val="0"/>
        <w:spacing w:before="0" w:after="0" w:line="240" w:lineRule="auto"/>
        <w:ind w:left="0" w:right="0" w:firstLine="0"/>
        <w:jc w:val="both"/>
        <w:sectPr>
          <w:headerReference w:type="default" r:id="rId5"/>
          <w:footerReference w:type="default" r:id="rId6"/>
          <w:headerReference w:type="first" r:id="rId7"/>
          <w:footerReference w:type="first" r:id="rId8"/>
          <w:footnotePr>
            <w:pos w:val="pageBottom"/>
            <w:numFmt w:val="decimal"/>
            <w:numRestart w:val="continuous"/>
          </w:footnotePr>
          <w:pgSz w:w="11900" w:h="16840"/>
          <w:pgMar w:top="63" w:right="1112" w:bottom="1231" w:left="1140" w:header="0" w:footer="3" w:gutter="0"/>
          <w:pgNumType w:start="1"/>
          <w:cols w:num="2" w:space="883"/>
          <w:noEndnote/>
          <w:titlePg/>
          <w:rtlGutter w:val="0"/>
          <w:docGrid w:linePitch="360"/>
        </w:sectPr>
      </w:pPr>
      <w:r>
        <w:rPr>
          <w:color w:val="000000"/>
          <w:spacing w:val="0"/>
          <w:w w:val="100"/>
          <w:position w:val="0"/>
          <w:shd w:val="clear" w:color="auto" w:fill="auto"/>
          <w:lang w:val="ru-RU" w:eastAsia="ru-RU" w:bidi="ru-RU"/>
        </w:rPr>
        <w:t>Государственное казенное учреждение Амурской области "Строитель" откдки@таП.ги</w:t>
      </w:r>
    </w:p>
    <w:p>
      <w:pPr>
        <w:widowControl w:val="0"/>
        <w:spacing w:line="240" w:lineRule="exact"/>
        <w:rPr>
          <w:sz w:val="19"/>
          <w:szCs w:val="19"/>
        </w:rPr>
      </w:pPr>
    </w:p>
    <w:p>
      <w:pPr>
        <w:widowControl w:val="0"/>
        <w:spacing w:before="88" w:after="88" w:line="240" w:lineRule="exact"/>
        <w:rPr>
          <w:sz w:val="19"/>
          <w:szCs w:val="19"/>
        </w:rPr>
      </w:pPr>
    </w:p>
    <w:p>
      <w:pPr>
        <w:widowControl w:val="0"/>
        <w:spacing w:line="1" w:lineRule="exact"/>
        <w:sectPr>
          <w:footnotePr>
            <w:pos w:val="pageBottom"/>
            <w:numFmt w:val="decimal"/>
            <w:numRestart w:val="continuous"/>
          </w:footnotePr>
          <w:type w:val="continuous"/>
          <w:pgSz w:w="11900" w:h="16840"/>
          <w:pgMar w:top="799" w:right="0" w:bottom="695" w:left="0" w:header="0" w:footer="3" w:gutter="0"/>
          <w:cols w:space="720"/>
          <w:noEndnote/>
          <w:rtlGutter w:val="0"/>
          <w:docGrid w:linePitch="360"/>
        </w:sectPr>
      </w:pPr>
    </w:p>
    <w:p>
      <w:pPr>
        <w:pStyle w:val="Style17"/>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РЕШЕНИЕ</w:t>
        <w:br/>
        <w:t>по делу № 028/06/106-744/2024</w:t>
      </w:r>
    </w:p>
    <w:p>
      <w:pPr>
        <w:pStyle w:val="Style17"/>
        <w:keepNext w:val="0"/>
        <w:keepLines w:val="0"/>
        <w:widowControl w:val="0"/>
        <w:shd w:val="clear" w:color="auto" w:fill="auto"/>
        <w:bidi w:val="0"/>
        <w:spacing w:before="0" w:after="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6030595</wp:posOffset>
                </wp:positionH>
                <wp:positionV relativeFrom="paragraph">
                  <wp:posOffset>12700</wp:posOffset>
                </wp:positionV>
                <wp:extent cx="1151890" cy="231775"/>
                <wp:wrapSquare wrapText="left"/>
                <wp:docPr id="7" name="Shape 7"/>
                <a:graphic xmlns:a="http://schemas.openxmlformats.org/drawingml/2006/main">
                  <a:graphicData uri="http://schemas.microsoft.com/office/word/2010/wordprocessingShape">
                    <wps:wsp>
                      <wps:cNvSpPr txBox="1"/>
                      <wps:spPr>
                        <a:xfrm>
                          <a:ext cx="1151890" cy="23177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Благовещенск</w:t>
                            </w:r>
                          </w:p>
                        </w:txbxContent>
                      </wps:txbx>
                      <wps:bodyPr wrap="none" lIns="0" tIns="0" rIns="0" bIns="0">
                        <a:noAutoFit/>
                      </wps:bodyPr>
                    </wps:wsp>
                  </a:graphicData>
                </a:graphic>
              </wp:anchor>
            </w:drawing>
          </mc:Choice>
          <mc:Fallback>
            <w:pict>
              <v:shape id="_x0000_s1033" type="#_x0000_t202" style="position:absolute;margin-left:474.85000000000002pt;margin-top:1.pt;width:90.700000000000003pt;height:18.25pt;z-index:-125829375;mso-wrap-distance-left:9.pt;mso-wrap-distance-right:9.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Благовещенск</w:t>
                      </w:r>
                    </w:p>
                  </w:txbxContent>
                </v:textbox>
                <w10:wrap type="square" side="left" anchorx="page"/>
              </v:shape>
            </w:pict>
          </mc:Fallback>
        </mc:AlternateContent>
      </w:r>
      <w:r>
        <w:rPr>
          <w:color w:val="000000"/>
          <w:spacing w:val="0"/>
          <w:w w:val="100"/>
          <w:position w:val="0"/>
          <w:shd w:val="clear" w:color="auto" w:fill="auto"/>
          <w:lang w:val="ru-RU" w:eastAsia="ru-RU" w:bidi="ru-RU"/>
        </w:rPr>
        <w:t>24.09.2024</w:t>
      </w:r>
    </w:p>
    <w:p>
      <w:pPr>
        <w:pStyle w:val="Style17"/>
        <w:keepNext w:val="0"/>
        <w:keepLines w:val="0"/>
        <w:widowControl w:val="0"/>
        <w:shd w:val="clear" w:color="auto" w:fill="auto"/>
        <w:bidi w:val="0"/>
        <w:spacing w:before="0" w:after="260" w:line="240" w:lineRule="auto"/>
        <w:ind w:left="0" w:right="0" w:firstLine="0"/>
        <w:jc w:val="both"/>
      </w:pPr>
      <w:r>
        <w:rPr>
          <w:color w:val="000000"/>
          <w:spacing w:val="0"/>
          <w:w w:val="100"/>
          <w:position w:val="0"/>
          <w:shd w:val="clear" w:color="auto" w:fill="auto"/>
          <w:lang w:val="ru-RU" w:eastAsia="ru-RU" w:bidi="ru-RU"/>
        </w:rPr>
        <w:t>(решение в полном объеме изготовлено 27.09.2024)</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Амурской области (далее - Амурское УФАС России) по контролю в сфере закупок в составе: Парнищевой М.М. - заместителя руководителя управления - начальника отдела контроля закупок, председателя Комиссии; членов Комиссии: Стрелковой Е.В. - главного специалиста- эксперта указанного отдела, Левченко И.И. - ведущего специалиста-эксперта указанного отдела, Бутковской Н.В. - ведущего специалиста-эксперта указанного отдела,</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присутствии представителей (посредством видеоконференцсвязи):</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от государственного заказчика - государственного казенного учреждения Амурской области «СТРОИТЕЛЬ» (далее - Заказчик) Лысенко Е.В., действующей по доверенности от 02.10.2023 № 32;</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от уполномоченного органа - управления государственного заказа Амурской области (далее - Уполномоченный орган) Гавриленко Ю.В., действующей по доверенности от 19.01.2024 № 05-07/35,</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от заявителя жалобы - общества с ограниченной ответственностью «Ника» (далее - ООО «Ника», Заявитель) Ерёмкиной А.Ю. и Ермошкина А.Ю., действующих по доверенности от 23.09.2024,</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от победителя закупки - индивидуального предпринимателя Цыганко А.В. Аничкина В.А., действующего по доверенности от 23.09.2024 № 230924,</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(лицам разъяснены права, порядок рассмотрения дела, сообщено о ведении аудио- и видеозаписи заседания Комиссии Амурского УФАС России),</w:t>
      </w:r>
    </w:p>
    <w:p>
      <w:pPr>
        <w:pStyle w:val="Style17"/>
        <w:keepNext w:val="0"/>
        <w:keepLines w:val="0"/>
        <w:widowControl w:val="0"/>
        <w:shd w:val="clear" w:color="auto" w:fill="auto"/>
        <w:bidi w:val="0"/>
        <w:spacing w:before="0" w:after="260" w:line="240" w:lineRule="auto"/>
        <w:ind w:left="0" w:right="0" w:firstLine="740"/>
        <w:jc w:val="both"/>
      </w:pPr>
      <w:r>
        <w:rPr>
          <w:color w:val="000000"/>
          <w:spacing w:val="0"/>
          <w:w w:val="100"/>
          <w:position w:val="0"/>
          <w:shd w:val="clear" w:color="auto" w:fill="auto"/>
          <w:lang w:val="ru-RU" w:eastAsia="ru-RU" w:bidi="ru-RU"/>
        </w:rPr>
        <w:t>рассмотрела поступившую 17.09.2024 в Амурское УФАС России жалобу ООО «Ника» на действия Заказчика и Уполномоченного органа при осуществлении закупки в</w:t>
      </w:r>
    </w:p>
    <w:p>
      <w:pPr>
        <w:pStyle w:val="Style23"/>
        <w:keepNext/>
        <w:keepLines/>
        <w:widowControl w:val="0"/>
        <w:shd w:val="clear" w:color="auto" w:fill="auto"/>
        <w:bidi w:val="0"/>
        <w:spacing w:before="0" w:after="0" w:line="240" w:lineRule="auto"/>
        <w:ind w:left="0" w:right="0" w:firstLine="0"/>
        <w:jc w:val="both"/>
        <w:rPr>
          <w:sz w:val="26"/>
          <w:szCs w:val="26"/>
        </w:rPr>
      </w:pPr>
      <w:bookmarkStart w:id="2" w:name="bookmark2"/>
      <w:r>
        <w:rPr>
          <w:color w:val="000000"/>
          <w:spacing w:val="0"/>
          <w:w w:val="100"/>
          <w:position w:val="0"/>
          <w:sz w:val="32"/>
          <w:szCs w:val="32"/>
          <w:shd w:val="clear" w:color="auto" w:fill="auto"/>
          <w:lang w:val="ru-RU" w:eastAsia="ru-RU" w:bidi="ru-RU"/>
        </w:rPr>
        <w:t>111111111111111111111111</w:t>
      </w:r>
      <w:bookmarkEnd w:id="2"/>
      <w:r>
        <w:rPr>
          <w:color w:val="000000"/>
          <w:spacing w:val="0"/>
          <w:w w:val="100"/>
          <w:position w:val="0"/>
          <w:sz w:val="32"/>
          <w:szCs w:val="32"/>
          <w:shd w:val="clear" w:color="auto" w:fill="auto"/>
          <w:lang w:val="ru-RU" w:eastAsia="ru-RU" w:bidi="ru-RU"/>
        </w:rPr>
        <w:t xml:space="preserve"> </w:t>
      </w:r>
      <w:r>
        <w:rPr>
          <w:rStyle w:val="CharStyle18"/>
        </w:rPr>
        <w:t>форме электронного аукциона на поставку товара для объекта капитального строительства: «Школа на 528 мест в с. Чигири Благовещенского района, Амурской области», объявленной извещением от 03.09.2024 № 0123200000324001558 на электронной площадке РТС-тендер \\\\\у.г18-1епс1ег.П1, выразившиеся, по мнению Заявителя, в нарушении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 именно: в неправомерном признании заявки ООО «Ника» не соответствующей требованиям извещения.</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24.09.2024 на заседании Комиссии Амурского УФАС представители Заявителя поддержали доводы жалобы, пояснили, что общество подало заявку на участие в рассматриваемой закупке, заявке присвоен номер 117260964. Согласно протоколу подведения итогов электронного аукциона от 12.09.2024 заявка общества отклонена на основании пункта 5 части 12 статьи 48 Закона о контрактной системе. В обоснование решения комиссией Заказчика указано следующее: непредставление информации и документов, предусмотренных пунктом 5 части 1 статьи 43 закона - невозможно идентифицировать приложенные выписки реестров к закупаемым товарам, кроме того, количество выписок из реестров не совпадает с количеством закупаемых товаров. Заявитель полагает данные действия комиссии незаконными, ввиду того, что каких-либо ограничений на количество выписок из реестра закон и извещение не содержат. Указание нескольких вариантов исполнения товара путем предоставления нескольких выписок и реестра в заявке, подтверждающих производство товара на территории РФ, не влияющее на оценку соответствия предлагаемых характеристик товара требованиям описания объекта закупки не противоречит законодательству о контрактной системе. Закон о контрактной системе не обязывает иметь товар в наличии на момент подачи заявки. Также из Закона о контрактной системе не следует обязанность участника закупки указания количества товара каждого указанного производителя в рамках одной позиции, достаточно указать общее количество товара по позиции, соответствующей заявленному количеству заказчика. В заявке обществом заказчику представлены выписки из реестра российской промышленной продукции в двух папках, выписки содержали ссылки на товар, соответствующий объектам закупки. Следовательно, заявка ООО «Ника» не содержала недостоверных сведений и подлежала допуску к участию в закупке. Представители общества просили признать жалобу обоснованной и выдать Заказчику предписание об устранении допущенных нарушений.</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Представители Заказчика и Уполномоченного органа с доводами жалобы не согласились по основаниям, перечисленным в письменных отзывах, представленных в материалы дела, просили признать жалобу необоснованной. Указали, что предметом закупки является мебель, предназначенная для оснащения объекта капитального строительства: «Школа на 528 мест в с. Чигири Благовещенского района, Амурской области» - всего 80 позиций с различными функциональными, техническими и качественными характеристиками. На участие в аукционе поступило три заявки. Заявка ООО «Ника» отклонена членами комиссии Заказчика в связи с непредставлением информации и документов, предусмотренных пунктом 5 части 1 статьи 43 Федерального закона - невозможно идентифицировать приложенные выписки реестров к закупаемым товарам, кроме того, количество выписок из реестров не совпадает с количеством закупаемых товаров. ООО «Ника» в составе заявки предоставлен архивный файл, содержащий выписки из реестра российской промышленной продукции - всего 77 </w:t>
      </w:r>
      <w:r>
        <w:rPr>
          <w:color w:val="000000"/>
          <w:spacing w:val="0"/>
          <w:w w:val="100"/>
          <w:position w:val="0"/>
          <w:shd w:val="clear" w:color="auto" w:fill="auto"/>
          <w:lang w:val="ru-RU" w:eastAsia="ru-RU" w:bidi="ru-RU"/>
        </w:rPr>
        <w:t>выписок. В частности, по объекту закупки «Стул ученический» (7 позиций) представлены 6 выписок из реестра российской промышленной продукции; по объекту закупки трибуна (1 позиция) представлены 4 выписки из реестра российской промышленной продукции. Таким образом, представленная Заявителем информация (77 выписок) не позволяет определить товар, планируемый к поставке, а также определить сведения, подтверждающие страну происхождения товара. Участник закупки, представивший в составе заявки сведения из реестра в отношении предлагаемой к поставке продукции без возможности идентификации конкретной реестровой записи на конкретный товар, создает себе условия, при которых имеется возможность поставить любой из товаров, содержащийся в реестре российских промышленных товаров, что приведет к необоснованному преимуществу данного участника закупки перед другими участниками, в то время как контрактная система в сфере закупок направлена на создание равных условий для обеспечения конкуренции между участниками закупок. При этом из заявки участника закупки не представляется возможным определить, какая именно из представленных выписок подтверждает страну происхождения того или иного предлагаемого товара, то есть фактически участником закупки не сформировано свое предложение в отношении объекта закупки, что также подтверждается доводами жалобы, согласно которым Заявитель указывает, что не имеет возможности на стадии подачи заявки определить, какой именно товар он сможет поставить при исполнении контракта. Представление в составе заявки сведений из реестра в отношении предлагаемой к поставке продукции без возможности идентификации конкретной реестровой записи на конкретный предлагаемый товар, не позволяет выполнить требование постановления № 616 об обязательном включении в контракт информации о реестровых записях о товаре. Таким образом, отклонение заявки ООО «Ника» является правомерным.</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Представитель победителя закупки поддержал позицию Заказчика и Уполномоченного органа, пояснил, что считает подход ООО «Ника» к оформлению заявки со скаченным архивом выписок из реестра российских промышленных товаров без конкретизации к какому товару относится определенная выписка, не позволяет заказчику однозначно определить предложение общества в отношении объекта закупки. Кроме того, такой подход является дискриминационным по отношению к иным участникам, которые позаботились о содержании и форме заявки, распределив выписки из реестра к определенным товарам.</w:t>
      </w:r>
    </w:p>
    <w:p>
      <w:pPr>
        <w:pStyle w:val="Style17"/>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Комиссия Амурского УФАС России, рассмотрев жалобу, заслушав представителей сторон по делу, исследовав материалы дела,</w:t>
      </w:r>
    </w:p>
    <w:p>
      <w:pPr>
        <w:pStyle w:val="Style26"/>
        <w:keepNext/>
        <w:keepLines/>
        <w:widowControl w:val="0"/>
        <w:shd w:val="clear" w:color="auto" w:fill="auto"/>
        <w:bidi w:val="0"/>
        <w:spacing w:before="0" w:after="260" w:line="240" w:lineRule="auto"/>
        <w:ind w:left="0" w:right="0" w:firstLine="0"/>
        <w:jc w:val="center"/>
      </w:pPr>
      <w:bookmarkStart w:id="4" w:name="bookmark4"/>
      <w:r>
        <w:rPr>
          <w:color w:val="000000"/>
          <w:spacing w:val="0"/>
          <w:w w:val="100"/>
          <w:position w:val="0"/>
          <w:shd w:val="clear" w:color="auto" w:fill="auto"/>
          <w:lang w:val="ru-RU" w:eastAsia="ru-RU" w:bidi="ru-RU"/>
        </w:rPr>
        <w:t>УСТАНОВИЛА:</w:t>
      </w:r>
      <w:bookmarkEnd w:id="4"/>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Постановлением Правительства Амурской области от 05.02.2016 № 38 утвержден Порядок взаимодействия заказчиков с уполномоченным органом по определению поставщиков (подрядчиков, исполнителей) для нужд области (далее - Порядок № 38).</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Указанным Порядком управление государственного заказа Амурской области определено уполномоченным органом государственной власти области, осуществляющим полномочия по определению поставщиков (подрядчиков, исполнителей) для нужд области.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1.2 Порядка № 38 осуществление закупок товаров, работ, услуг для нужд области реализуется через региональную информационную систему в сфере закупок товаров, работ, услуг для обеспечения нужд области "Централизованная информационно</w:t>
        <w:softHyphen/>
      </w:r>
      <w:r>
        <w:rPr>
          <w:color w:val="000000"/>
          <w:spacing w:val="0"/>
          <w:w w:val="100"/>
          <w:position w:val="0"/>
          <w:shd w:val="clear" w:color="auto" w:fill="auto"/>
          <w:lang w:val="ru-RU" w:eastAsia="ru-RU" w:bidi="ru-RU"/>
        </w:rPr>
        <w:t>техническая платформа «АЦК-Госзаказ» на основании заявок заказчиков, составляемых в соответствии с планами-графиками закупок, а также потребностями и доведенными лимитами бюджетных обязательств на соответствующий финансовый год.</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03.09.2024 Уполномоченным органом по заявке Заказчика в Единой информационной системе в сфере закупок \у\у\у./акирк1.доу.ги и на электронной площадке ООО «РТС-тендер» \у\у\у.г18-1епс1ег.ги опубликовано извещение №0123200000324001558 о проведении электронного аукциона на право заключения государственного контракта на право заключения государственного контракта на поставку товара для объекта капитального строительства: «Школа на 528 мест в с. Чигири Благовещенского района, Амурской области».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Закупка размещена в рамках реализации национального проекта «Образование».</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- 25 244 549,64 рублей.</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и время начала срока подачи заявок - 03.09.2024 17:21 (МСК+6).</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и время окончания срока подачи заявок - 11.09.2024 09:00 (МСК+6).</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проведения процедуры подачи предложений о цене контракта либо о сумме цен единиц товара, работы, услуги - 11.09.2024.</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- 13.09.2024.</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рамках рассматриваемой закупки Заказчику запросы о разъяснении положений извещения о проведении открытого аукциона в электронной форме не поступали, изменения в извещение не вносились.</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протоколу подачи ценовых предложений от 11.09.2024 на участие в аукционе заявки поданы от трех участников закупки.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Как следует из протокола подведения итогов определения поставщика (подрядчика, исполнителя) от 12.09.2024, заявки с идентификационными номерами 117240640 и 117263375 признаны соответствующими требованиям извещения; заявка с с идентификационным номером 117260964 отклонена на основании п.5 ч.12 ст.48 Федерального закона №44 ФЗ «О контрактной системе в сфере закупок товаров, работ, услуг для обеспечения государственных и муниципальных нужд» (далее - Федеральный закон) - непредставления информации и документов, предусмотренных пунктом 5 части 1 статьи 43 Федерального закона, если такие документы предусмотрены нормативными правовыми актами, принятыми в соответствии с частью 3 статьи 14 Федерального закона (в составе заявки отсутствует информация о номере реестровой записи из реестра российской промышленной продукции или евразийского реестра промышленных товаров в соответствии с постановлением Правительства РФ от 30.04.2020 № 616- невозможно идентифицировать приложенные выписки реестров к закупаемым товарам, кроме того, количество выписок из реестров не совпадает с кол-вом закупаемых товаров). По результатам подведения итогов определения поставщика (подрядчика, исполнителя) Победителем аукциона признается участник закупки идентификационный № 117240640, с ценовым предложением 20 069 416,89 руб. (Двадцать миллионов шестьдесят девять тысяч четыреста шестнадцать рублей 89 копеек).</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дату рассмотрения жалобы и проведения внеплановой проверки государственный контракт не заключен.</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Исследовав материалы дела, Комиссия Амурского УФАС России приходит к следующим выводам.</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регулируются Законом о контрактной системе</w:t>
      </w:r>
      <w:r>
        <w:rPr>
          <w:i/>
          <w:iCs/>
          <w:color w:val="000000"/>
          <w:spacing w:val="0"/>
          <w:w w:val="100"/>
          <w:position w:val="0"/>
          <w:shd w:val="clear" w:color="auto" w:fill="auto"/>
          <w:lang w:val="ru-RU" w:eastAsia="ru-RU" w:bidi="ru-RU"/>
        </w:rPr>
        <w:t>.</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(часть 2 статьи 24 Закона о контрактной системе).</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статье 6 Закона о контрактной системе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Статьей 8 Закона о контрактной системе установлено,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пункту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w:t>
      </w:r>
      <w:r>
        <w:rPr>
          <w:color w:val="000000"/>
          <w:spacing w:val="0"/>
          <w:w w:val="100"/>
          <w:position w:val="0"/>
          <w:shd w:val="clear" w:color="auto" w:fill="auto"/>
          <w:lang w:val="ru-RU" w:eastAsia="ru-RU" w:bidi="ru-RU"/>
        </w:rPr>
        <w:t>содержащее следующую информацию: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части 4 статьи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Во исполнение положений части 4 статьи 14 Закона о контрактной системе принято Постановление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 616).</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1 Постановления № 616 Правительство Российской Федерации постановляет установить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 (далее - перечень).</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Как следует из пункта 6 Постановления № 616 в целях реализации настоящего постановления:</w:t>
      </w:r>
    </w:p>
    <w:p>
      <w:pPr>
        <w:pStyle w:val="Style17"/>
        <w:keepNext w:val="0"/>
        <w:keepLines w:val="0"/>
        <w:widowControl w:val="0"/>
        <w:numPr>
          <w:ilvl w:val="0"/>
          <w:numId w:val="1"/>
        </w:numPr>
        <w:shd w:val="clear" w:color="auto" w:fill="auto"/>
        <w:tabs>
          <w:tab w:pos="103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подтверждением производства продукции на территории Российской Федерации является наличие сведений о такой продукции в реестре российской промышленной продукции, размещаемом в государственной информационной системе промышленности в соответствии со статьей 17.1 Федерального закона "О промышленной политике в Российской Федерации" (далее - реестр российской промышленной продукции);</w:t>
      </w:r>
    </w:p>
    <w:p>
      <w:pPr>
        <w:pStyle w:val="Style17"/>
        <w:keepNext w:val="0"/>
        <w:keepLines w:val="0"/>
        <w:widowControl w:val="0"/>
        <w:numPr>
          <w:ilvl w:val="0"/>
          <w:numId w:val="1"/>
        </w:numPr>
        <w:shd w:val="clear" w:color="auto" w:fill="auto"/>
        <w:tabs>
          <w:tab w:pos="10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подтверждением производства промышленной продукции на территории государства - члена Евразийского экономического союза является наличие сведений о такой продукции в евразийском реестре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Подтверждением включения сведений в реестр российской промышленной продукции является реестровая запись реестра российской промышленной продукции, сформированная в государственной информационной системе промышленности в соответствии с постановлением Правительства Российской Федерации от 17 июля 2015 г. ^ 719 "О подтверждении производства российской промышленной продукции" (пункта 7 Постановления № 616).</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10 Постановления № 616 установлено, что для подтверждения соответствия закупки промышленных товаров требованиям, установленным настоящим постановлением, участник закупки указывает (декларирует) в составе заявки на участие в закупке:</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и совокупном количестве баллов включается в контракт;</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отношении товаров, страной происхождения которых является государство - член Евразийского экономического союза, за исключением Российской Федерации, - номера реестровых записей из евразийского реестра промышленных товаров,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это предусмотрено решением Совета Евразийской экономической комиссии от 23 ноября 2020 г. ^ 105 (для продукции, в отношении которой установлены требования о совокупном количестве баллов за выполнение (освоение) на территории Евразийского экономического союза соответствующих операций (условий). Информация о реестровых записях о товаре и совокупном количестве баллов включается в контракт.</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случае представления участником закупки в составе заявки информации из реестра российской промышленной продукции или евразийского реестра промышленных товаров без указания совокупного количества баллов, указанного в абзацах втором и третьем настоящего пункта, или с указанием такого совокупного количества баллов, не </w:t>
      </w:r>
      <w:r>
        <w:rPr>
          <w:color w:val="000000"/>
          <w:spacing w:val="0"/>
          <w:w w:val="100"/>
          <w:position w:val="0"/>
          <w:shd w:val="clear" w:color="auto" w:fill="auto"/>
          <w:lang w:val="ru-RU" w:eastAsia="ru-RU" w:bidi="ru-RU"/>
        </w:rPr>
        <w:t>соответствующего требованиям, установленным для целей осуществления закупок постановлением Правительства Российской Федерации от 17 июля 2015 г. ^ 719 или решением Совета Евразийской экономической комиссии от 23 ноября 2020 г. ^ 105 соответственно, такая заявка приравнивается к заявке, в которой содержится предложение о поставке товаров, происходящих из иностранных государств.</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Номера реестровых записей из реестра российской промышленной продукции не представляются при поставках вооружения, военной и специальной техники, принятых на вооружение, снабжение, в эксплуатацию, и (или) при поставках образцов вооружения, военной и специальной техники, разработанных в соответствии с конструкторской документацией с литерой не ниже "О1". Информация о таких товарах не подлежит включению в реестр российской промышленной продукции.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извещении № 0123200000324001558 Заказчиком установлен запрет на допуск товаров, работ, услуг при осуществлении закупок, а также ограничения и условия допуска в соответствии с требованиями, установленными ст. 14 Закона № 44-ФЗ и Постановлением № 616.</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7"/>
        <w:keepNext w:val="0"/>
        <w:keepLines w:val="0"/>
        <w:widowControl w:val="0"/>
        <w:numPr>
          <w:ilvl w:val="0"/>
          <w:numId w:val="3"/>
        </w:numPr>
        <w:shd w:val="clear" w:color="auto" w:fill="auto"/>
        <w:tabs>
          <w:tab w:pos="103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члены комиссии по осуществлению закупок:</w:t>
      </w:r>
    </w:p>
    <w:p>
      <w:pPr>
        <w:pStyle w:val="Style17"/>
        <w:keepNext w:val="0"/>
        <w:keepLines w:val="0"/>
        <w:widowControl w:val="0"/>
        <w:numPr>
          <w:ilvl w:val="0"/>
          <w:numId w:val="5"/>
        </w:numPr>
        <w:shd w:val="clear" w:color="auto" w:fill="auto"/>
        <w:tabs>
          <w:tab w:pos="113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17"/>
        <w:keepNext w:val="0"/>
        <w:keepLines w:val="0"/>
        <w:widowControl w:val="0"/>
        <w:numPr>
          <w:ilvl w:val="0"/>
          <w:numId w:val="5"/>
        </w:numPr>
        <w:shd w:val="clear" w:color="auto" w:fill="auto"/>
        <w:tabs>
          <w:tab w:pos="113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pPr>
        <w:pStyle w:val="Style17"/>
        <w:keepNext w:val="0"/>
        <w:keepLines w:val="0"/>
        <w:widowControl w:val="0"/>
        <w:numPr>
          <w:ilvl w:val="0"/>
          <w:numId w:val="3"/>
        </w:numPr>
        <w:shd w:val="clear" w:color="auto" w:fill="auto"/>
        <w:tabs>
          <w:tab w:pos="113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17"/>
        <w:keepNext w:val="0"/>
        <w:keepLines w:val="0"/>
        <w:widowControl w:val="0"/>
        <w:numPr>
          <w:ilvl w:val="0"/>
          <w:numId w:val="7"/>
        </w:numPr>
        <w:shd w:val="clear" w:color="auto" w:fill="auto"/>
        <w:tabs>
          <w:tab w:pos="11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7"/>
        <w:keepNext w:val="0"/>
        <w:keepLines w:val="0"/>
        <w:widowControl w:val="0"/>
        <w:numPr>
          <w:ilvl w:val="0"/>
          <w:numId w:val="7"/>
        </w:numPr>
        <w:shd w:val="clear" w:color="auto" w:fill="auto"/>
        <w:tabs>
          <w:tab w:pos="11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7"/>
        <w:keepNext w:val="0"/>
        <w:keepLines w:val="0"/>
        <w:widowControl w:val="0"/>
        <w:numPr>
          <w:ilvl w:val="0"/>
          <w:numId w:val="7"/>
        </w:numPr>
        <w:shd w:val="clear" w:color="auto" w:fill="auto"/>
        <w:tabs>
          <w:tab w:pos="11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pPr>
        <w:pStyle w:val="Style17"/>
        <w:keepNext w:val="0"/>
        <w:keepLines w:val="0"/>
        <w:widowControl w:val="0"/>
        <w:numPr>
          <w:ilvl w:val="0"/>
          <w:numId w:val="7"/>
        </w:numPr>
        <w:shd w:val="clear" w:color="auto" w:fill="auto"/>
        <w:tabs>
          <w:tab w:pos="11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pPr>
        <w:pStyle w:val="Style17"/>
        <w:keepNext w:val="0"/>
        <w:keepLines w:val="0"/>
        <w:widowControl w:val="0"/>
        <w:numPr>
          <w:ilvl w:val="0"/>
          <w:numId w:val="7"/>
        </w:numPr>
        <w:shd w:val="clear" w:color="auto" w:fill="auto"/>
        <w:tabs>
          <w:tab w:pos="11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7"/>
        <w:keepNext w:val="0"/>
        <w:keepLines w:val="0"/>
        <w:widowControl w:val="0"/>
        <w:numPr>
          <w:ilvl w:val="0"/>
          <w:numId w:val="7"/>
        </w:numPr>
        <w:shd w:val="clear" w:color="auto" w:fill="auto"/>
        <w:tabs>
          <w:tab w:pos="11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7"/>
        <w:keepNext w:val="0"/>
        <w:keepLines w:val="0"/>
        <w:widowControl w:val="0"/>
        <w:numPr>
          <w:ilvl w:val="0"/>
          <w:numId w:val="7"/>
        </w:numPr>
        <w:shd w:val="clear" w:color="auto" w:fill="auto"/>
        <w:tabs>
          <w:tab w:pos="189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предусмотренных частью 6 статьи 45 настоящего Федерального закона;</w:t>
      </w:r>
    </w:p>
    <w:p>
      <w:pPr>
        <w:pStyle w:val="Style17"/>
        <w:keepNext w:val="0"/>
        <w:keepLines w:val="0"/>
        <w:widowControl w:val="0"/>
        <w:numPr>
          <w:ilvl w:val="0"/>
          <w:numId w:val="7"/>
        </w:numPr>
        <w:shd w:val="clear" w:color="auto" w:fill="auto"/>
        <w:tabs>
          <w:tab w:pos="11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пункта 2 части 17 статьи 48 Закона о контрактной системе протокол подведения итогов определения поставщика (подрядчика, исполнителя) должен содержать следующую информацию: 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 настоящим Федеральным законом, с обоснованием такого решения и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Как отмечено выше, в рамках рассматриваемой закупки поданы три заявки, две из которых признаны соответствующими требованиям извещения, заявка с идентификационным номером 117260964 отклонена на основании п.5 ч.12 ст.48 Закона о контрактной системе - непредставление информации и документов, предусмотренных пунктом 5 части 1 статьи 43 Федерального закона, если такие документы предусмотрены нормативными правовыми актами, принятыми в соответствии с частью 3 статьи 14 Федерального закона (в составе заявки отсутствует информация о номере реестровой записи из реестра российской промышленной продукции или евразийского реестра промышленных товаров в соответствии с постановлением Правительства РФ от 30.04.2020 № 616 - невозможно идентифицировать приложенные выписки реестров к закупаемым товарам, кроме того, количество выписок из реестров не совпадает с кол-вом закупаемых товаров).</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Оценив правомерность оспариваемых Заявителем действий комиссии Заказчика по осуществлению закупок, Комиссия Амурского УФАС России приходит к следующим выводам.</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Материалами дела установлено, что участником закупки - ООО «Ника» в составе заявки номер 117260964 в качестве подтверждения страны происхождения предлагаемого товара представлены две архивированные папки с общим количеством выписок из реестра российских промышленных товаров - 77, без указания к какому конкретно товару относится та или иная выписка.</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Амурского УФАС России, проанализировав заявку участника закупки ООО «Ника» приходит к выводу, что исходя из представленных выписок из реестра российских промышленных товаров не представляется однозначно идентифицировать товары, предлагаемые участником к поставке.</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Учитывая, что на одну позицию «Трибуна (трибуна для выступлений)» закупки №0123200000324001558 ООО «Ника» представлены 4 выписки из реестра российских промышленных товаров, при этом заявка влечет обязанность Заказчика указать в проекте государственного контракта все номера представленных реестровых записей, а поставщика - поставить товар, соответствующий всем представленным реестровым записям единовременно, что в данном случае не представляется возможным.</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Фактически идентификация предлагаемого к поставке товара (соотношение предлагаемого товара с информацией, содержащейся в выписках), ООО «Ника» переложена на аукционную комиссию Заказчика.</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Амурского УФАС России также принимает во внимание доводы Заказчика о том, что Заявитель, представивший в составе заявки несколько номеров реестровых записей на предлагаемый товар без возможности идентификации конкретной реестровой записи на конкретный предлагаемый товар, создает себе условия, при которых имеется возможность поставить любой из товаров, который соответствует представленным реестровым записям, что приведет к необоснованному преимуществу данного участника закупки перед другими участниками.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Кроме того, положения пункта 5 части 1 статьи 43 Закона о контрактной системе указывают на необходимость представления в составе заявки документов и сведений, подтверждающих соответствие предлагаемого к поставке товара установленным запретам, ограничениям и условиям допуска, что в данном конкретном случае не исполнено ООО «Ника», так как представлено несколько реестровых номеров из реестра российской промышленной продукции на один товар.</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Комиссия Амурского УФАС России приходит к выводу о том, что решение членов комиссии об отклонении заявки ООО «Ника» соответствует положениям законодательства о контрактной системе.</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Исходя из вышеизложенного, Комиссия Амурского УФАС России приходит к выводу о необоснованности жалобы.</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в рамках внеплановой проверки Комиссия Амурского УФАС России установила, что в нарушение пункта 2 части 17 статьи 48 Закона о контрактной системе протокол подведения итогов определения поставщика (подрядчика, исполнителя) от 12.09.2024 не содержит обязательных требований к оформлению протокола, а именно: отсутствует указание положения извещения об осуществлении закупки, которым не соответствует заявка, а также положений заявки на участие в закупке, которые не соответствуют извещению об осуществлении закупки.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Названное нарушение содержит признаки состава административного правонарушения, предусмотренного частью 2.1 статьи 7.30 Кодекса Российской Федерации об административных правонарушениях.</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Поскольку материалами дела не установлено, что выявленные в действиях Заказчика нарушения повлияли или могли повлиять на результаты определения исполнителя закупки, с учётом необходимости своевременной реализации потребности Заказчика, Комиссия Амурского УФАС России приходит к выводу об отсутствии целесообразности выдачи предписания об устранении нарушений Закона о контрактной системе.</w:t>
      </w:r>
    </w:p>
    <w:p>
      <w:pPr>
        <w:pStyle w:val="Style17"/>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Рассмотрев жалобу ООО «Ника» на действия Заказчика и Уполномоченного органа при осуществлении закупки в форме электронного аукциона на поставку товара для объекта капитального строительства: «Школа на 528 мест в с. Чигири Благовещенского района, Амурской области», объявленной извещением от 03.09.2024 №0123200000324001558 на электронной площадке РТС-тендер \\\\\у.г18-1епскт.П1, руководствуясь пунктом 1 части 3, части 15 статьи 99, части 8 статьи 106 Закона о контрактной системе, Комиссия Амурского УФАС России приняла</w:t>
      </w:r>
    </w:p>
    <w:p>
      <w:pPr>
        <w:pStyle w:val="Style26"/>
        <w:keepNext/>
        <w:keepLines/>
        <w:widowControl w:val="0"/>
        <w:shd w:val="clear" w:color="auto" w:fill="auto"/>
        <w:bidi w:val="0"/>
        <w:spacing w:before="0" w:after="260" w:line="240" w:lineRule="auto"/>
        <w:ind w:left="0" w:right="0" w:firstLine="0"/>
        <w:jc w:val="center"/>
      </w:pPr>
      <w:bookmarkStart w:id="6" w:name="bookmark6"/>
      <w:r>
        <w:rPr>
          <w:color w:val="000000"/>
          <w:spacing w:val="0"/>
          <w:w w:val="100"/>
          <w:position w:val="0"/>
          <w:shd w:val="clear" w:color="auto" w:fill="auto"/>
          <w:lang w:val="ru-RU" w:eastAsia="ru-RU" w:bidi="ru-RU"/>
        </w:rPr>
        <w:t>РЕШЕНИЕ:</w:t>
      </w:r>
      <w:bookmarkEnd w:id="6"/>
    </w:p>
    <w:p>
      <w:pPr>
        <w:pStyle w:val="Style17"/>
        <w:keepNext w:val="0"/>
        <w:keepLines w:val="0"/>
        <w:widowControl w:val="0"/>
        <w:numPr>
          <w:ilvl w:val="0"/>
          <w:numId w:val="9"/>
        </w:numPr>
        <w:shd w:val="clear" w:color="auto" w:fill="auto"/>
        <w:tabs>
          <w:tab w:pos="11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жалобу общества с ограниченной ответственностью «Ника» необоснованной.</w:t>
      </w:r>
    </w:p>
    <w:p>
      <w:pPr>
        <w:pStyle w:val="Style17"/>
        <w:keepNext w:val="0"/>
        <w:keepLines w:val="0"/>
        <w:widowControl w:val="0"/>
        <w:numPr>
          <w:ilvl w:val="0"/>
          <w:numId w:val="9"/>
        </w:numPr>
        <w:shd w:val="clear" w:color="auto" w:fill="auto"/>
        <w:tabs>
          <w:tab w:pos="11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в действиях членов комиссии государственного заказчика - государственного казенного учреждения Амурской области «СТРОИТЕЛЬ» нарушение пункта 2 части 17 статьи 48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17"/>
        <w:keepNext w:val="0"/>
        <w:keepLines w:val="0"/>
        <w:widowControl w:val="0"/>
        <w:numPr>
          <w:ilvl w:val="0"/>
          <w:numId w:val="9"/>
        </w:numPr>
        <w:shd w:val="clear" w:color="auto" w:fill="auto"/>
        <w:tabs>
          <w:tab w:pos="11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Предписание об устранении допущенного нарушения законодательства Российской Федерации о контрактной системе не выдавать.</w:t>
      </w:r>
    </w:p>
    <w:p>
      <w:pPr>
        <w:pStyle w:val="Style17"/>
        <w:keepNext w:val="0"/>
        <w:keepLines w:val="0"/>
        <w:widowControl w:val="0"/>
        <w:numPr>
          <w:ilvl w:val="0"/>
          <w:numId w:val="9"/>
        </w:numPr>
        <w:shd w:val="clear" w:color="auto" w:fill="auto"/>
        <w:tabs>
          <w:tab w:pos="1171" w:val="left"/>
        </w:tabs>
        <w:bidi w:val="0"/>
        <w:spacing w:before="0" w:after="260" w:line="240" w:lineRule="auto"/>
        <w:ind w:left="0" w:right="0" w:firstLine="720"/>
        <w:jc w:val="both"/>
      </w:pPr>
      <w:r>
        <w:rPr>
          <w:color w:val="000000"/>
          <w:spacing w:val="0"/>
          <w:w w:val="100"/>
          <w:position w:val="0"/>
          <w:shd w:val="clear" w:color="auto" w:fill="auto"/>
          <w:lang w:val="ru-RU" w:eastAsia="ru-RU" w:bidi="ru-RU"/>
        </w:rPr>
        <w:t>Передать материалы дела должностному лицу Амурского УФАС России для рассмотрения вопроса о возбуждении административного производства.</w:t>
      </w:r>
      <w:r>
        <w:br w:type="page"/>
      </w:r>
    </w:p>
    <w:p>
      <w:pPr>
        <w:pStyle w:val="Style26"/>
        <w:keepNext/>
        <w:keepLines/>
        <w:widowControl w:val="0"/>
        <w:shd w:val="clear" w:color="auto" w:fill="auto"/>
        <w:bidi w:val="0"/>
        <w:spacing w:before="0" w:after="0" w:line="240" w:lineRule="auto"/>
        <w:ind w:left="0" w:right="0" w:firstLine="720"/>
        <w:jc w:val="both"/>
      </w:pPr>
      <w:bookmarkStart w:id="8" w:name="bookmark8"/>
      <w:r>
        <w:rPr>
          <w:color w:val="000000"/>
          <w:spacing w:val="0"/>
          <w:w w:val="100"/>
          <w:position w:val="0"/>
          <w:shd w:val="clear" w:color="auto" w:fill="auto"/>
          <w:lang w:val="ru-RU" w:eastAsia="ru-RU" w:bidi="ru-RU"/>
        </w:rPr>
        <w:t>Решение Комиссии антимонопольного органа может быть обжаловано в судебном порядке в течение трех месяцев со дня его принятия.</w:t>
      </w:r>
      <w:bookmarkEnd w:id="8"/>
    </w:p>
    <w:p>
      <w:pPr>
        <w:widowControl w:val="0"/>
        <w:spacing w:line="1" w:lineRule="exact"/>
        <w:sectPr>
          <w:footnotePr>
            <w:pos w:val="pageBottom"/>
            <w:numFmt w:val="decimal"/>
            <w:numRestart w:val="continuous"/>
          </w:footnotePr>
          <w:type w:val="continuous"/>
          <w:pgSz w:w="11900" w:h="16840"/>
          <w:pgMar w:top="799" w:right="533" w:bottom="695" w:left="1095" w:header="0" w:footer="3" w:gutter="0"/>
          <w:cols w:space="720"/>
          <w:noEndnote/>
          <w:rtlGutter w:val="0"/>
          <w:docGrid w:linePitch="360"/>
        </w:sectPr>
      </w:pPr>
      <w:r>
        <mc:AlternateContent>
          <mc:Choice Requires="wps">
            <w:drawing>
              <wp:anchor distT="304800" distB="186055" distL="0" distR="0" simplePos="0" relativeHeight="125829380" behindDoc="0" locked="0" layoutInCell="1" allowOverlap="1">
                <wp:simplePos x="0" y="0"/>
                <wp:positionH relativeFrom="page">
                  <wp:posOffset>739775</wp:posOffset>
                </wp:positionH>
                <wp:positionV relativeFrom="paragraph">
                  <wp:posOffset>304800</wp:posOffset>
                </wp:positionV>
                <wp:extent cx="1700530" cy="231775"/>
                <wp:wrapTopAndBottom/>
                <wp:docPr id="9" name="Shape 9"/>
                <a:graphic xmlns:a="http://schemas.openxmlformats.org/drawingml/2006/main">
                  <a:graphicData uri="http://schemas.microsoft.com/office/word/2010/wordprocessingShape">
                    <wps:wsp>
                      <wps:cNvSpPr txBox="1"/>
                      <wps:spPr>
                        <a:xfrm>
                          <a:ext cx="1700530" cy="23177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5" type="#_x0000_t202" style="position:absolute;margin-left:58.25pt;margin-top:24.pt;width:133.90000000000001pt;height:18.25pt;z-index:-125829373;mso-wrap-distance-left:0;mso-wrap-distance-top:24.pt;mso-wrap-distance-right:0;mso-wrap-distance-bottom:14.65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mc:AlternateContent>
          <mc:Choice Requires="wps">
            <w:drawing>
              <wp:anchor distT="466090" distB="635" distL="0" distR="0" simplePos="0" relativeHeight="125829382" behindDoc="0" locked="0" layoutInCell="1" allowOverlap="1">
                <wp:simplePos x="0" y="0"/>
                <wp:positionH relativeFrom="page">
                  <wp:posOffset>3074670</wp:posOffset>
                </wp:positionH>
                <wp:positionV relativeFrom="paragraph">
                  <wp:posOffset>466090</wp:posOffset>
                </wp:positionV>
                <wp:extent cx="1722120" cy="255905"/>
                <wp:wrapTopAndBottom/>
                <wp:docPr id="11" name="Shape 1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37" type="#_x0000_t202" style="position:absolute;margin-left:242.09999999999999pt;margin-top:36.700000000000003pt;width:135.59999999999999pt;height:20.150000000000002pt;z-index:-125829371;mso-wrap-distance-left:0;mso-wrap-distance-top:36.700000000000003pt;mso-wrap-distance-right:0;mso-wrap-distance-bottom:5.0000000000000003e-002pt;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type="topAndBottom" anchorx="page"/>
              </v:shape>
            </w:pict>
          </mc:Fallback>
        </mc:AlternateContent>
      </w:r>
      <w:r>
        <mc:AlternateContent>
          <mc:Choice Requires="wps">
            <w:drawing>
              <wp:anchor distT="304800" distB="186055" distL="0" distR="0" simplePos="0" relativeHeight="125829384" behindDoc="0" locked="0" layoutInCell="1" allowOverlap="1">
                <wp:simplePos x="0" y="0"/>
                <wp:positionH relativeFrom="page">
                  <wp:posOffset>5921375</wp:posOffset>
                </wp:positionH>
                <wp:positionV relativeFrom="paragraph">
                  <wp:posOffset>304800</wp:posOffset>
                </wp:positionV>
                <wp:extent cx="1252855" cy="231775"/>
                <wp:wrapTopAndBottom/>
                <wp:docPr id="13" name="Shape 13"/>
                <a:graphic xmlns:a="http://schemas.openxmlformats.org/drawingml/2006/main">
                  <a:graphicData uri="http://schemas.microsoft.com/office/word/2010/wordprocessingShape">
                    <wps:wsp>
                      <wps:cNvSpPr txBox="1"/>
                      <wps:spPr>
                        <a:xfrm>
                          <a:ext cx="1252855" cy="23177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М.М. Парнищева</w:t>
                            </w:r>
                          </w:p>
                        </w:txbxContent>
                      </wps:txbx>
                      <wps:bodyPr wrap="none" lIns="0" tIns="0" rIns="0" bIns="0">
                        <a:noAutoFit/>
                      </wps:bodyPr>
                    </wps:wsp>
                  </a:graphicData>
                </a:graphic>
              </wp:anchor>
            </w:drawing>
          </mc:Choice>
          <mc:Fallback>
            <w:pict>
              <v:shape id="_x0000_s1039" type="#_x0000_t202" style="position:absolute;margin-left:466.25pt;margin-top:24.pt;width:98.650000000000006pt;height:18.25pt;z-index:-125829369;mso-wrap-distance-left:0;mso-wrap-distance-top:24.pt;mso-wrap-distance-right:0;mso-wrap-distance-bottom:14.65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М.М. Парнищева</w:t>
                      </w:r>
                    </w:p>
                  </w:txbxContent>
                </v:textbox>
                <w10:wrap type="topAndBottom" anchorx="page"/>
              </v:shape>
            </w:pict>
          </mc:Fallback>
        </mc:AlternateContent>
      </w:r>
    </w:p>
    <w:p>
      <w:pPr>
        <w:pStyle w:val="Style19"/>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2"/>
          <w:szCs w:val="12"/>
        </w:rPr>
      </w:pPr>
      <w:r>
        <w:rPr>
          <w:color w:val="E7E7E7"/>
          <w:spacing w:val="0"/>
          <w:w w:val="100"/>
          <w:position w:val="0"/>
          <w:sz w:val="12"/>
          <w:szCs w:val="12"/>
          <w:shd w:val="clear" w:color="auto" w:fill="auto"/>
          <w:lang w:val="ru-RU" w:eastAsia="ru-RU" w:bidi="ru-RU"/>
        </w:rPr>
        <w:t>СВЕДЕНИЯ О СЕРТИФИКАТЕ ЭП</w:t>
      </w:r>
    </w:p>
    <w:p>
      <w:pPr>
        <w:pStyle w:val="Style33"/>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Парнищева Марина Михайловна</w:t>
      </w:r>
    </w:p>
    <w:p>
      <w:pPr>
        <w:pStyle w:val="Style3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A3A3A"/>
          <w:spacing w:val="0"/>
          <w:w w:val="100"/>
          <w:position w:val="0"/>
          <w:shd w:val="clear" w:color="auto" w:fill="auto"/>
          <w:lang w:val="ru-RU" w:eastAsia="ru-RU" w:bidi="ru-RU"/>
        </w:rPr>
        <w:t>78С8СЕА2ВЕ2658А4665639ВЕА268ОВ2С</w:t>
      </w:r>
    </w:p>
    <w:p>
      <w:pPr>
        <w:pStyle w:val="Style3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Действителен </w:t>
      </w:r>
      <w:r>
        <w:rPr>
          <w:color w:val="3A3A3A"/>
          <w:spacing w:val="0"/>
          <w:w w:val="100"/>
          <w:position w:val="0"/>
          <w:shd w:val="clear" w:color="auto" w:fill="auto"/>
          <w:lang w:val="ru-RU" w:eastAsia="ru-RU" w:bidi="ru-RU"/>
        </w:rPr>
        <w:t xml:space="preserve">с 12.08.2024 </w:t>
      </w:r>
      <w:r>
        <w:rPr>
          <w:color w:val="8A8A8A"/>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05.11.2025</w:t>
      </w:r>
    </w:p>
    <w:p>
      <w:pPr>
        <w:widowControl w:val="0"/>
        <w:spacing w:line="1" w:lineRule="exact"/>
        <w:sectPr>
          <w:footnotePr>
            <w:pos w:val="pageBottom"/>
            <w:numFmt w:val="decimal"/>
            <w:numRestart w:val="continuous"/>
          </w:footnotePr>
          <w:type w:val="continuous"/>
          <w:pgSz w:w="11900" w:h="16840"/>
          <w:pgMar w:top="1897" w:right="551" w:bottom="7417" w:left="1111" w:header="0" w:footer="3" w:gutter="0"/>
          <w:cols w:space="720"/>
          <w:noEndnote/>
          <w:rtlGutter w:val="0"/>
          <w:docGrid w:linePitch="360"/>
        </w:sectPr>
      </w:pPr>
      <w:r>
        <mc:AlternateContent>
          <mc:Choice Requires="wps">
            <w:drawing>
              <wp:anchor distT="25400" distB="371475" distL="0" distR="0" simplePos="0" relativeHeight="125829386" behindDoc="0" locked="0" layoutInCell="1" allowOverlap="1">
                <wp:simplePos x="0" y="0"/>
                <wp:positionH relativeFrom="page">
                  <wp:posOffset>736600</wp:posOffset>
                </wp:positionH>
                <wp:positionV relativeFrom="paragraph">
                  <wp:posOffset>25400</wp:posOffset>
                </wp:positionV>
                <wp:extent cx="1246505" cy="234950"/>
                <wp:wrapTopAndBottom/>
                <wp:docPr id="15" name="Shape 15"/>
                <a:graphic xmlns:a="http://schemas.openxmlformats.org/drawingml/2006/main">
                  <a:graphicData uri="http://schemas.microsoft.com/office/word/2010/wordprocessingShape">
                    <wps:wsp>
                      <wps:cNvSpPr txBox="1"/>
                      <wps:spPr>
                        <a:xfrm>
                          <a:ext cx="1246505" cy="234950"/>
                        </a:xfrm>
                        <a:prstGeom prst="rect"/>
                        <a:noFill/>
                      </wps:spPr>
                      <wps:txbx>
                        <w:txbxContent>
                          <w:p>
                            <w:pPr>
                              <w:pStyle w:val="Style26"/>
                              <w:keepNext/>
                              <w:keepLines/>
                              <w:widowControl w:val="0"/>
                              <w:shd w:val="clear" w:color="auto" w:fill="auto"/>
                              <w:bidi w:val="0"/>
                              <w:spacing w:before="0" w:after="0" w:line="240" w:lineRule="auto"/>
                              <w:ind w:left="0" w:right="0" w:firstLine="0"/>
                              <w:jc w:val="left"/>
                            </w:pPr>
                            <w:bookmarkStart w:id="10" w:name="bookmark10"/>
                            <w:r>
                              <w:rPr>
                                <w:color w:val="000000"/>
                                <w:spacing w:val="0"/>
                                <w:w w:val="100"/>
                                <w:position w:val="0"/>
                                <w:shd w:val="clear" w:color="auto" w:fill="auto"/>
                                <w:lang w:val="ru-RU" w:eastAsia="ru-RU" w:bidi="ru-RU"/>
                              </w:rPr>
                              <w:t>Члены комиссии:</w:t>
                            </w:r>
                            <w:bookmarkEnd w:id="10"/>
                          </w:p>
                        </w:txbxContent>
                      </wps:txbx>
                      <wps:bodyPr wrap="none" lIns="0" tIns="0" rIns="0" bIns="0">
                        <a:noAutoFit/>
                      </wps:bodyPr>
                    </wps:wsp>
                  </a:graphicData>
                </a:graphic>
              </wp:anchor>
            </w:drawing>
          </mc:Choice>
          <mc:Fallback>
            <w:pict>
              <v:shape id="_x0000_s1041" type="#_x0000_t202" style="position:absolute;margin-left:58.pt;margin-top:2.pt;width:98.150000000000006pt;height:18.5pt;z-index:-125829367;mso-wrap-distance-left:0;mso-wrap-distance-top:2.pt;mso-wrap-distance-right:0;mso-wrap-distance-bottom:29.25pt;mso-position-horizontal-relative:page" filled="f" stroked="f">
                <v:textbox inset="0,0,0,0">
                  <w:txbxContent>
                    <w:p>
                      <w:pPr>
                        <w:pStyle w:val="Style26"/>
                        <w:keepNext/>
                        <w:keepLines/>
                        <w:widowControl w:val="0"/>
                        <w:shd w:val="clear" w:color="auto" w:fill="auto"/>
                        <w:bidi w:val="0"/>
                        <w:spacing w:before="0" w:after="0" w:line="240" w:lineRule="auto"/>
                        <w:ind w:left="0" w:right="0" w:firstLine="0"/>
                        <w:jc w:val="left"/>
                      </w:pPr>
                      <w:bookmarkStart w:id="10" w:name="bookmark10"/>
                      <w:r>
                        <w:rPr>
                          <w:color w:val="000000"/>
                          <w:spacing w:val="0"/>
                          <w:w w:val="100"/>
                          <w:position w:val="0"/>
                          <w:shd w:val="clear" w:color="auto" w:fill="auto"/>
                          <w:lang w:val="ru-RU" w:eastAsia="ru-RU" w:bidi="ru-RU"/>
                        </w:rPr>
                        <w:t>Члены комиссии:</w:t>
                      </w:r>
                      <w:bookmarkEnd w:id="10"/>
                    </w:p>
                  </w:txbxContent>
                </v:textbox>
                <w10:wrap type="topAndBottom" anchorx="page"/>
              </v:shape>
            </w:pict>
          </mc:Fallback>
        </mc:AlternateContent>
      </w:r>
      <w:r>
        <w:drawing>
          <wp:anchor distT="98425" distB="0" distL="0" distR="1786255" simplePos="0" relativeHeight="125829388" behindDoc="0" locked="0" layoutInCell="1" allowOverlap="1">
            <wp:simplePos x="0" y="0"/>
            <wp:positionH relativeFrom="page">
              <wp:posOffset>2660015</wp:posOffset>
            </wp:positionH>
            <wp:positionV relativeFrom="paragraph">
              <wp:posOffset>98425</wp:posOffset>
            </wp:positionV>
            <wp:extent cx="353695" cy="536575"/>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3117215</wp:posOffset>
                </wp:positionH>
                <wp:positionV relativeFrom="paragraph">
                  <wp:posOffset>497840</wp:posOffset>
                </wp:positionV>
                <wp:extent cx="1286510" cy="103505"/>
                <wp:wrapNone/>
                <wp:docPr id="19" name="Shape 19"/>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2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7E7E7"/>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5" type="#_x0000_t202" style="position:absolute;margin-left:245.45000000000002pt;margin-top:39.200000000000003pt;width:101.3pt;height:8.1500000000000004pt;z-index:251657729;mso-wrap-distance-left:0;mso-wrap-distance-right:0;mso-position-horizontal-relative:page" filled="f" stroked="f">
                <v:textbox inset="0,0,0,0">
                  <w:txbxContent>
                    <w:p>
                      <w:pPr>
                        <w:pStyle w:val="Style2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7E7E7"/>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3074670</wp:posOffset>
                </wp:positionH>
                <wp:positionV relativeFrom="paragraph">
                  <wp:posOffset>186690</wp:posOffset>
                </wp:positionV>
                <wp:extent cx="1722120" cy="255905"/>
                <wp:wrapNone/>
                <wp:docPr id="21" name="Shape 2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42.09999999999999pt;margin-top:14.700000000000001pt;width:135.59999999999999pt;height:20.150000000000002pt;z-index:251657731;mso-wrap-distance-left:0;mso-wrap-distance-right:0;mso-position-horizontal-relative:page" filled="f" stroked="f">
                <v:textbox inset="0,0,0,0">
                  <w:txbxContent>
                    <w:p>
                      <w:pPr>
                        <w:pStyle w:val="Style2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25400" distB="371475" distL="0" distR="0" simplePos="0" relativeHeight="125829389" behindDoc="0" locked="0" layoutInCell="1" allowOverlap="1">
                <wp:simplePos x="0" y="0"/>
                <wp:positionH relativeFrom="page">
                  <wp:posOffset>6085840</wp:posOffset>
                </wp:positionH>
                <wp:positionV relativeFrom="paragraph">
                  <wp:posOffset>25400</wp:posOffset>
                </wp:positionV>
                <wp:extent cx="1090930" cy="234950"/>
                <wp:wrapTopAndBottom/>
                <wp:docPr id="23" name="Shape 23"/>
                <a:graphic xmlns:a="http://schemas.openxmlformats.org/drawingml/2006/main">
                  <a:graphicData uri="http://schemas.microsoft.com/office/word/2010/wordprocessingShape">
                    <wps:wsp>
                      <wps:cNvSpPr txBox="1"/>
                      <wps:spPr>
                        <a:xfrm>
                          <a:ext cx="1090930" cy="23495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Е.В. Стрелкова</w:t>
                            </w:r>
                          </w:p>
                        </w:txbxContent>
                      </wps:txbx>
                      <wps:bodyPr wrap="none" lIns="0" tIns="0" rIns="0" bIns="0">
                        <a:noAutoFit/>
                      </wps:bodyPr>
                    </wps:wsp>
                  </a:graphicData>
                </a:graphic>
              </wp:anchor>
            </w:drawing>
          </mc:Choice>
          <mc:Fallback>
            <w:pict>
              <v:shape id="_x0000_s1049" type="#_x0000_t202" style="position:absolute;margin-left:479.19999999999999pt;margin-top:2.pt;width:85.900000000000006pt;height:18.5pt;z-index:-125829364;mso-wrap-distance-left:0;mso-wrap-distance-top:2.pt;mso-wrap-distance-right:0;mso-wrap-distance-bottom:29.25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Е.В. Стрелкова</w:t>
                      </w:r>
                    </w:p>
                  </w:txbxContent>
                </v:textbox>
                <w10:wrap type="topAndBottom" anchorx="page"/>
              </v:shape>
            </w:pict>
          </mc:Fallback>
        </mc:AlternateContent>
      </w:r>
    </w:p>
    <w:p>
      <w:pPr>
        <w:pStyle w:val="Style33"/>
        <w:keepNext w:val="0"/>
        <w:keepLines w:val="0"/>
        <w:widowControl w:val="0"/>
        <w:shd w:val="clear" w:color="auto" w:fill="auto"/>
        <w:bidi w:val="0"/>
        <w:spacing w:before="0" w:after="0" w:line="259" w:lineRule="auto"/>
        <w:ind w:right="0" w:firstLine="0"/>
        <w:jc w:val="left"/>
      </w:pPr>
      <w:r>
        <w:rPr>
          <w:color w:val="000000"/>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 xml:space="preserve">Стрелкова Елизавета Викторовна </w:t>
      </w:r>
      <w:r>
        <w:rPr>
          <w:color w:val="3A3A3A"/>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5ЕС860Е482А17Е0С86Е8СС6991</w:t>
      </w:r>
      <w:r>
        <w:rPr>
          <w:color w:val="3A3A3A"/>
          <w:spacing w:val="0"/>
          <w:w w:val="100"/>
          <w:position w:val="0"/>
          <w:shd w:val="clear" w:color="auto" w:fill="auto"/>
          <w:lang w:val="ru-RU" w:eastAsia="ru-RU" w:bidi="ru-RU"/>
        </w:rPr>
        <w:t>СЗА2Е1</w:t>
      </w:r>
    </w:p>
    <w:p>
      <w:pPr>
        <w:pStyle w:val="Style33"/>
        <w:keepNext w:val="0"/>
        <w:keepLines w:val="0"/>
        <w:widowControl w:val="0"/>
        <w:shd w:val="clear" w:color="auto" w:fill="auto"/>
        <w:bidi w:val="0"/>
        <w:spacing w:before="0" w:after="160" w:line="259" w:lineRule="auto"/>
        <w:ind w:right="0" w:firstLine="0"/>
        <w:jc w:val="left"/>
      </w:pPr>
      <w:r>
        <w:rPr>
          <w:spacing w:val="0"/>
          <w:w w:val="100"/>
          <w:position w:val="0"/>
          <w:shd w:val="clear" w:color="auto" w:fill="auto"/>
          <w:lang w:val="ru-RU" w:eastAsia="ru-RU" w:bidi="ru-RU"/>
        </w:rPr>
        <w:t xml:space="preserve">Действителен </w:t>
      </w:r>
      <w:r>
        <w:rPr>
          <w:color w:val="3A3A3A"/>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04.10.2023 </w:t>
      </w:r>
      <w:r>
        <w:rPr>
          <w:color w:val="8A8A8A"/>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27.12.2024</w:t>
      </w:r>
    </w:p>
    <w:p>
      <w:pPr>
        <w:pStyle w:val="Style17"/>
        <w:keepNext w:val="0"/>
        <w:keepLines w:val="0"/>
        <w:widowControl w:val="0"/>
        <w:shd w:val="clear" w:color="auto" w:fill="auto"/>
        <w:bidi w:val="0"/>
        <w:spacing w:before="0" w:after="660" w:line="240" w:lineRule="auto"/>
        <w:ind w:left="1940" w:right="0" w:firstLine="0"/>
        <w:jc w:val="left"/>
      </w:pPr>
      <w:r>
        <w:drawing>
          <wp:anchor distT="0" distB="0" distL="114300" distR="1900555" simplePos="0" relativeHeight="125829391" behindDoc="0" locked="0" layoutInCell="1" allowOverlap="1">
            <wp:simplePos x="0" y="0"/>
            <wp:positionH relativeFrom="page">
              <wp:posOffset>2660015</wp:posOffset>
            </wp:positionH>
            <wp:positionV relativeFrom="paragraph">
              <wp:posOffset>63500</wp:posOffset>
            </wp:positionV>
            <wp:extent cx="353695" cy="536575"/>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3117215</wp:posOffset>
                </wp:positionH>
                <wp:positionV relativeFrom="paragraph">
                  <wp:posOffset>466090</wp:posOffset>
                </wp:positionV>
                <wp:extent cx="1280160" cy="100330"/>
                <wp:wrapNone/>
                <wp:docPr id="27" name="Shape 27"/>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FFFFFF"/>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3" type="#_x0000_t202" style="position:absolute;margin-left:245.45000000000002pt;margin-top:36.700000000000003pt;width:100.8pt;height:7.9000000000000004pt;z-index:251657733;mso-wrap-distance-left:0;mso-wrap-distance-right:0;mso-position-horizontal-relative:page" filled="f" stroked="f">
                <v:textbox inset="0,0,0,0">
                  <w:txbxContent>
                    <w:p>
                      <w:pPr>
                        <w:pStyle w:val="Style2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FFFFFF"/>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3074670</wp:posOffset>
                </wp:positionH>
                <wp:positionV relativeFrom="paragraph">
                  <wp:posOffset>151765</wp:posOffset>
                </wp:positionV>
                <wp:extent cx="1722120" cy="255905"/>
                <wp:wrapNone/>
                <wp:docPr id="29" name="Shape 2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42.09999999999999pt;margin-top:11.950000000000001pt;width:135.59999999999999pt;height:20.150000000000002pt;z-index:251657735;mso-wrap-distance-left:0;mso-wrap-distance-right:0;mso-position-horizontal-relative:page" filled="f" stroked="f">
                <v:textbox inset="0,0,0,0">
                  <w:txbxContent>
                    <w:p>
                      <w:pPr>
                        <w:pStyle w:val="Style2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И.И. Левченко</w:t>
      </w:r>
    </w:p>
    <w:p>
      <w:pPr>
        <w:pStyle w:val="Style33"/>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Левченко Иван Игоревич</w:t>
      </w:r>
    </w:p>
    <w:p>
      <w:pPr>
        <w:pStyle w:val="Style33"/>
        <w:keepNext w:val="0"/>
        <w:keepLines w:val="0"/>
        <w:widowControl w:val="0"/>
        <w:shd w:val="clear" w:color="auto" w:fill="auto"/>
        <w:bidi w:val="0"/>
        <w:spacing w:before="0" w:after="0" w:line="240" w:lineRule="auto"/>
        <w:ind w:right="0" w:firstLine="0"/>
        <w:jc w:val="left"/>
      </w:pPr>
      <w:r>
        <w:rPr>
          <w:color w:val="3A3A3A"/>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A3A3A"/>
          <w:spacing w:val="0"/>
          <w:w w:val="100"/>
          <w:position w:val="0"/>
          <w:shd w:val="clear" w:color="auto" w:fill="auto"/>
          <w:lang w:val="ru-RU" w:eastAsia="ru-RU" w:bidi="ru-RU"/>
        </w:rPr>
        <w:t>5Е62СА182Е136О74ОЭСО8641С89В8Е7Е</w:t>
      </w:r>
    </w:p>
    <w:p>
      <w:pPr>
        <w:pStyle w:val="Style33"/>
        <w:keepNext w:val="0"/>
        <w:keepLines w:val="0"/>
        <w:widowControl w:val="0"/>
        <w:shd w:val="clear" w:color="auto" w:fill="auto"/>
        <w:bidi w:val="0"/>
        <w:spacing w:before="0" w:after="160" w:line="240" w:lineRule="auto"/>
        <w:ind w:right="0" w:firstLine="0"/>
        <w:jc w:val="left"/>
      </w:pPr>
      <w:r>
        <w:rPr>
          <w:spacing w:val="0"/>
          <w:w w:val="100"/>
          <w:position w:val="0"/>
          <w:shd w:val="clear" w:color="auto" w:fill="auto"/>
          <w:lang w:val="ru-RU" w:eastAsia="ru-RU" w:bidi="ru-RU"/>
        </w:rPr>
        <w:t xml:space="preserve">Действителен с 07.06.2024 </w:t>
      </w:r>
      <w:r>
        <w:rPr>
          <w:color w:val="8A8A8A"/>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31.08.2025</w:t>
      </w:r>
    </w:p>
    <w:p>
      <w:pPr>
        <w:pStyle w:val="Style26"/>
        <w:keepNext/>
        <w:keepLines/>
        <w:widowControl w:val="0"/>
        <w:shd w:val="clear" w:color="auto" w:fill="auto"/>
        <w:bidi w:val="0"/>
        <w:spacing w:before="0" w:after="660" w:line="240" w:lineRule="auto"/>
        <w:ind w:left="1740" w:right="0" w:firstLine="0"/>
        <w:jc w:val="left"/>
      </w:pPr>
      <w:r>
        <w:drawing>
          <wp:anchor distT="0" distB="0" distL="114300" distR="1900555" simplePos="0" relativeHeight="125829392" behindDoc="0" locked="0" layoutInCell="1" allowOverlap="1">
            <wp:simplePos x="0" y="0"/>
            <wp:positionH relativeFrom="page">
              <wp:posOffset>2660015</wp:posOffset>
            </wp:positionH>
            <wp:positionV relativeFrom="paragraph">
              <wp:posOffset>63500</wp:posOffset>
            </wp:positionV>
            <wp:extent cx="353695" cy="536575"/>
            <wp:wrapSquare wrapText="right"/>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13"/>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3117215</wp:posOffset>
                </wp:positionH>
                <wp:positionV relativeFrom="paragraph">
                  <wp:posOffset>466090</wp:posOffset>
                </wp:positionV>
                <wp:extent cx="1283335" cy="103505"/>
                <wp:wrapNone/>
                <wp:docPr id="33" name="Shape 33"/>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7E7E7"/>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9" type="#_x0000_t202" style="position:absolute;margin-left:245.45000000000002pt;margin-top:36.700000000000003pt;width:101.05pt;height:8.1500000000000004pt;z-index:251657737;mso-wrap-distance-left:0;mso-wrap-distance-right:0;mso-position-horizontal-relative:page" filled="f" stroked="f">
                <v:textbox inset="0,0,0,0">
                  <w:txbxContent>
                    <w:p>
                      <w:pPr>
                        <w:pStyle w:val="Style2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7E7E7"/>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3074670</wp:posOffset>
                </wp:positionH>
                <wp:positionV relativeFrom="paragraph">
                  <wp:posOffset>154940</wp:posOffset>
                </wp:positionV>
                <wp:extent cx="1722120" cy="255905"/>
                <wp:wrapNone/>
                <wp:docPr id="35" name="Shape 3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42.09999999999999pt;margin-top:12.200000000000001pt;width:135.59999999999999pt;height:20.150000000000002pt;z-index:251657739;mso-wrap-distance-left:0;mso-wrap-distance-right:0;mso-position-horizontal-relative:page" filled="f" stroked="f">
                <v:textbox inset="0,0,0,0">
                  <w:txbxContent>
                    <w:p>
                      <w:pPr>
                        <w:pStyle w:val="Style2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bookmarkStart w:id="12" w:name="bookmark12"/>
      <w:r>
        <w:rPr>
          <w:color w:val="000000"/>
          <w:spacing w:val="0"/>
          <w:w w:val="100"/>
          <w:position w:val="0"/>
          <w:shd w:val="clear" w:color="auto" w:fill="auto"/>
          <w:lang w:val="ru-RU" w:eastAsia="ru-RU" w:bidi="ru-RU"/>
        </w:rPr>
        <w:t>Н.В. Бутковская</w:t>
      </w:r>
      <w:bookmarkEnd w:id="12"/>
    </w:p>
    <w:p>
      <w:pPr>
        <w:pStyle w:val="Style33"/>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Бутковская Надежда Васильевна</w:t>
      </w:r>
    </w:p>
    <w:p>
      <w:pPr>
        <w:pStyle w:val="Style3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A3A3A"/>
          <w:spacing w:val="0"/>
          <w:w w:val="100"/>
          <w:position w:val="0"/>
          <w:shd w:val="clear" w:color="auto" w:fill="auto"/>
          <w:lang w:val="ru-RU" w:eastAsia="ru-RU" w:bidi="ru-RU"/>
        </w:rPr>
        <w:t>00ЕААЕО3840О277СЕ84050АЕ8СЗАЕ355Е</w:t>
      </w:r>
      <w:r>
        <w:rPr>
          <w:color w:val="3A3A3A"/>
          <w:spacing w:val="0"/>
          <w:w w:val="100"/>
          <w:position w:val="0"/>
          <w:shd w:val="clear" w:color="auto" w:fill="auto"/>
          <w:lang w:val="ru-RU" w:eastAsia="ru-RU" w:bidi="ru-RU"/>
        </w:rPr>
        <w:t>С</w:t>
      </w:r>
    </w:p>
    <w:p>
      <w:pPr>
        <w:pStyle w:val="Style33"/>
        <w:keepNext w:val="0"/>
        <w:keepLines w:val="0"/>
        <w:widowControl w:val="0"/>
        <w:shd w:val="clear" w:color="auto" w:fill="auto"/>
        <w:bidi w:val="0"/>
        <w:spacing w:before="0" w:after="80" w:line="240" w:lineRule="auto"/>
        <w:ind w:right="0" w:firstLine="0"/>
        <w:jc w:val="left"/>
      </w:pPr>
      <w:r>
        <w:rPr>
          <w:spacing w:val="0"/>
          <w:w w:val="100"/>
          <w:position w:val="0"/>
          <w:shd w:val="clear" w:color="auto" w:fill="auto"/>
          <w:lang w:val="ru-RU" w:eastAsia="ru-RU" w:bidi="ru-RU"/>
        </w:rPr>
        <w:t xml:space="preserve">Действителен </w:t>
      </w:r>
      <w:r>
        <w:rPr>
          <w:color w:val="3A3A3A"/>
          <w:spacing w:val="0"/>
          <w:w w:val="100"/>
          <w:position w:val="0"/>
          <w:shd w:val="clear" w:color="auto" w:fill="auto"/>
          <w:lang w:val="ru-RU" w:eastAsia="ru-RU" w:bidi="ru-RU"/>
        </w:rPr>
        <w:t xml:space="preserve">с 03.06.2024 </w:t>
      </w:r>
      <w:r>
        <w:rPr>
          <w:color w:val="8A8A8A"/>
          <w:spacing w:val="0"/>
          <w:w w:val="100"/>
          <w:position w:val="0"/>
          <w:shd w:val="clear" w:color="auto" w:fill="auto"/>
          <w:lang w:val="ru-RU" w:eastAsia="ru-RU" w:bidi="ru-RU"/>
        </w:rPr>
        <w:t xml:space="preserve">по </w:t>
      </w:r>
      <w:r>
        <w:rPr>
          <w:color w:val="3A3A3A"/>
          <w:spacing w:val="0"/>
          <w:w w:val="100"/>
          <w:position w:val="0"/>
          <w:shd w:val="clear" w:color="auto" w:fill="auto"/>
          <w:lang w:val="ru-RU" w:eastAsia="ru-RU" w:bidi="ru-RU"/>
        </w:rPr>
        <w:t>27.08.2025</w:t>
      </w:r>
    </w:p>
    <w:sectPr>
      <w:footnotePr>
        <w:pos w:val="pageBottom"/>
        <w:numFmt w:val="decimal"/>
        <w:numRestart w:val="continuous"/>
      </w:footnotePr>
      <w:type w:val="continuous"/>
      <w:pgSz w:w="11900" w:h="16840"/>
      <w:pgMar w:top="1897" w:right="551" w:bottom="1897" w:left="111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724535</wp:posOffset>
              </wp:positionH>
              <wp:positionV relativeFrom="page">
                <wp:posOffset>9974580</wp:posOffset>
              </wp:positionV>
              <wp:extent cx="648970" cy="100330"/>
              <wp:wrapNone/>
              <wp:docPr id="3" name="Shape 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2024-4649</w:t>
                          </w:r>
                        </w:p>
                      </w:txbxContent>
                    </wps:txbx>
                    <wps:bodyPr wrap="none" lIns="0" tIns="0" rIns="0" bIns="0">
                      <a:spAutoFit/>
                    </wps:bodyPr>
                  </wps:wsp>
                </a:graphicData>
              </a:graphic>
            </wp:anchor>
          </w:drawing>
        </mc:Choice>
        <mc:Fallback>
          <w:pict>
            <v:shape id="_x0000_s1029" type="#_x0000_t202" style="position:absolute;margin-left:57.050000000000004pt;margin-top:785.39999999999998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2024-4649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9857740</wp:posOffset>
              </wp:positionV>
              <wp:extent cx="648970" cy="100330"/>
              <wp:wrapNone/>
              <wp:docPr id="5" name="Shape 5"/>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2024-4649</w:t>
                          </w:r>
                        </w:p>
                      </w:txbxContent>
                    </wps:txbx>
                    <wps:bodyPr wrap="none" lIns="0" tIns="0" rIns="0" bIns="0">
                      <a:spAutoFit/>
                    </wps:bodyPr>
                  </wps:wsp>
                </a:graphicData>
              </a:graphic>
            </wp:anchor>
          </w:drawing>
        </mc:Choice>
        <mc:Fallback>
          <w:pict>
            <v:shape id="_x0000_s1031" type="#_x0000_t202" style="position:absolute;margin-left:57.pt;margin-top:776.20000000000005pt;width:51.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2024-4649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3915410</wp:posOffset>
              </wp:positionH>
              <wp:positionV relativeFrom="page">
                <wp:posOffset>707390</wp:posOffset>
              </wp:positionV>
              <wp:extent cx="97790" cy="79375"/>
              <wp:wrapNone/>
              <wp:docPr id="1" name="Shape 1"/>
              <a:graphic xmlns:a="http://schemas.openxmlformats.org/drawingml/2006/main">
                <a:graphicData uri="http://schemas.microsoft.com/office/word/2010/wordprocessingShape">
                  <wps:wsp>
                    <wps:cNvSpPr txBox="1"/>
                    <wps:spPr>
                      <a:xfrm>
                        <a:ext cx="97790" cy="7937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8"/>
                              <w:szCs w:val="18"/>
                            </w:rPr>
                          </w:pPr>
                          <w:fldSimple w:instr=" PAGE \* MERGEFORMAT ">
                            <w:r>
                              <w:rPr>
                                <w:color w:val="000000"/>
                                <w:spacing w:val="0"/>
                                <w:w w:val="100"/>
                                <w:position w:val="0"/>
                                <w:sz w:val="18"/>
                                <w:szCs w:val="18"/>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08.30000000000001pt;margin-top:55.700000000000003pt;width:7.7000000000000002pt;height:6.25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8"/>
                        <w:szCs w:val="18"/>
                      </w:rPr>
                    </w:pPr>
                    <w:fldSimple w:instr=" PAGE \* MERGEFORMAT ">
                      <w:r>
                        <w:rPr>
                          <w:color w:val="000000"/>
                          <w:spacing w:val="0"/>
                          <w:w w:val="100"/>
                          <w:position w:val="0"/>
                          <w:sz w:val="18"/>
                          <w:szCs w:val="18"/>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6)_"/>
    <w:basedOn w:val="DefaultParagraphFont"/>
    <w:link w:val="Style2"/>
    <w:rPr>
      <w:rFonts w:ascii="Times New Roman" w:eastAsia="Times New Roman" w:hAnsi="Times New Roman" w:cs="Times New Roman"/>
      <w:b w:val="0"/>
      <w:bCs w:val="0"/>
      <w:i w:val="0"/>
      <w:iCs w:val="0"/>
      <w:smallCaps w:val="0"/>
      <w:strike w:val="0"/>
      <w:color w:val="476198"/>
      <w:sz w:val="134"/>
      <w:szCs w:val="134"/>
      <w:u w:val="singl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Основной текст (3)_"/>
    <w:basedOn w:val="DefaultParagraphFont"/>
    <w:link w:val="Style7"/>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11">
    <w:name w:val="Основной текст (5)_"/>
    <w:basedOn w:val="DefaultParagraphFont"/>
    <w:link w:val="Style10"/>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13">
    <w:name w:val="Заголовок №2_"/>
    <w:basedOn w:val="DefaultParagraphFont"/>
    <w:link w:val="Style12"/>
    <w:rPr>
      <w:rFonts w:ascii="Times New Roman" w:eastAsia="Times New Roman" w:hAnsi="Times New Roman" w:cs="Times New Roman"/>
      <w:b w:val="0"/>
      <w:bCs w:val="0"/>
      <w:i w:val="0"/>
      <w:iCs w:val="0"/>
      <w:smallCaps w:val="0"/>
      <w:strike w:val="0"/>
      <w:sz w:val="30"/>
      <w:szCs w:val="30"/>
      <w:u w:val="single"/>
    </w:rPr>
  </w:style>
  <w:style w:type="character" w:customStyle="1" w:styleId="CharStyle18">
    <w:name w:val="Основной текст_"/>
    <w:basedOn w:val="DefaultParagraphFont"/>
    <w:link w:val="Style17"/>
    <w:rPr>
      <w:rFonts w:ascii="Times New Roman" w:eastAsia="Times New Roman" w:hAnsi="Times New Roman" w:cs="Times New Roman"/>
      <w:b w:val="0"/>
      <w:bCs w:val="0"/>
      <w:i w:val="0"/>
      <w:iCs w:val="0"/>
      <w:smallCaps w:val="0"/>
      <w:strike w:val="0"/>
      <w:sz w:val="26"/>
      <w:szCs w:val="26"/>
      <w:u w:val="none"/>
    </w:rPr>
  </w:style>
  <w:style w:type="character" w:customStyle="1" w:styleId="CharStyle20">
    <w:name w:val="Основной текст (4)_"/>
    <w:basedOn w:val="DefaultParagraphFont"/>
    <w:link w:val="Style19"/>
    <w:rPr>
      <w:rFonts w:ascii="Georgia" w:eastAsia="Georgia" w:hAnsi="Georgia" w:cs="Georgia"/>
      <w:b w:val="0"/>
      <w:bCs w:val="0"/>
      <w:i w:val="0"/>
      <w:iCs w:val="0"/>
      <w:smallCaps w:val="0"/>
      <w:strike w:val="0"/>
      <w:color w:val="232323"/>
      <w:sz w:val="11"/>
      <w:szCs w:val="11"/>
      <w:u w:val="none"/>
    </w:rPr>
  </w:style>
  <w:style w:type="character" w:customStyle="1" w:styleId="CharStyle24">
    <w:name w:val="Заголовок №1_"/>
    <w:basedOn w:val="DefaultParagraphFont"/>
    <w:link w:val="Style23"/>
    <w:rPr>
      <w:rFonts w:ascii="Arial" w:eastAsia="Arial" w:hAnsi="Arial" w:cs="Arial"/>
      <w:b w:val="0"/>
      <w:bCs w:val="0"/>
      <w:i w:val="0"/>
      <w:iCs w:val="0"/>
      <w:smallCaps w:val="0"/>
      <w:strike w:val="0"/>
      <w:sz w:val="32"/>
      <w:szCs w:val="32"/>
      <w:u w:val="none"/>
    </w:rPr>
  </w:style>
  <w:style w:type="character" w:customStyle="1" w:styleId="CharStyle27">
    <w:name w:val="Заголовок №3_"/>
    <w:basedOn w:val="DefaultParagraphFont"/>
    <w:link w:val="Style26"/>
    <w:rPr>
      <w:rFonts w:ascii="Times New Roman" w:eastAsia="Times New Roman" w:hAnsi="Times New Roman" w:cs="Times New Roman"/>
      <w:b w:val="0"/>
      <w:bCs w:val="0"/>
      <w:i w:val="0"/>
      <w:iCs w:val="0"/>
      <w:smallCaps w:val="0"/>
      <w:strike w:val="0"/>
      <w:sz w:val="26"/>
      <w:szCs w:val="26"/>
      <w:u w:val="none"/>
    </w:rPr>
  </w:style>
  <w:style w:type="character" w:customStyle="1" w:styleId="CharStyle30">
    <w:name w:val="Подпись к картинке_"/>
    <w:basedOn w:val="DefaultParagraphFont"/>
    <w:link w:val="Style29"/>
    <w:rPr>
      <w:rFonts w:ascii="Georgia" w:eastAsia="Georgia" w:hAnsi="Georgia" w:cs="Georgia"/>
      <w:b w:val="0"/>
      <w:bCs w:val="0"/>
      <w:i w:val="0"/>
      <w:iCs w:val="0"/>
      <w:smallCaps w:val="0"/>
      <w:strike w:val="0"/>
      <w:color w:val="232323"/>
      <w:sz w:val="11"/>
      <w:szCs w:val="11"/>
      <w:u w:val="none"/>
    </w:rPr>
  </w:style>
  <w:style w:type="character" w:customStyle="1" w:styleId="CharStyle34">
    <w:name w:val="Основной текст (2)_"/>
    <w:basedOn w:val="DefaultParagraphFont"/>
    <w:link w:val="Style33"/>
    <w:rPr>
      <w:rFonts w:ascii="Arial" w:eastAsia="Arial" w:hAnsi="Arial" w:cs="Arial"/>
      <w:b w:val="0"/>
      <w:bCs w:val="0"/>
      <w:i w:val="0"/>
      <w:iCs w:val="0"/>
      <w:smallCaps w:val="0"/>
      <w:strike w:val="0"/>
      <w:color w:val="5B5B5B"/>
      <w:sz w:val="12"/>
      <w:szCs w:val="12"/>
      <w:u w:val="none"/>
    </w:rPr>
  </w:style>
  <w:style w:type="paragraph" w:customStyle="1" w:styleId="Style2">
    <w:name w:val="Основной текст (6)"/>
    <w:basedOn w:val="Normal"/>
    <w:link w:val="CharStyle3"/>
    <w:pPr>
      <w:widowControl w:val="0"/>
      <w:shd w:val="clear" w:color="auto" w:fill="auto"/>
      <w:spacing w:after="80"/>
      <w:jc w:val="center"/>
    </w:pPr>
    <w:rPr>
      <w:rFonts w:ascii="Times New Roman" w:eastAsia="Times New Roman" w:hAnsi="Times New Roman" w:cs="Times New Roman"/>
      <w:b w:val="0"/>
      <w:bCs w:val="0"/>
      <w:i w:val="0"/>
      <w:iCs w:val="0"/>
      <w:smallCaps w:val="0"/>
      <w:strike w:val="0"/>
      <w:color w:val="476198"/>
      <w:sz w:val="134"/>
      <w:szCs w:val="134"/>
      <w:u w:val="singl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Основной текст (3)"/>
    <w:basedOn w:val="Normal"/>
    <w:link w:val="CharStyle8"/>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10">
    <w:name w:val="Основной текст (5)"/>
    <w:basedOn w:val="Normal"/>
    <w:link w:val="CharStyle11"/>
    <w:pPr>
      <w:widowControl w:val="0"/>
      <w:shd w:val="clear" w:color="auto" w:fill="auto"/>
      <w:spacing w:after="220"/>
      <w:jc w:val="center"/>
    </w:pPr>
    <w:rPr>
      <w:rFonts w:ascii="Times New Roman" w:eastAsia="Times New Roman" w:hAnsi="Times New Roman" w:cs="Times New Roman"/>
      <w:b/>
      <w:bCs/>
      <w:i w:val="0"/>
      <w:iCs w:val="0"/>
      <w:smallCaps w:val="0"/>
      <w:strike w:val="0"/>
      <w:color w:val="476198"/>
      <w:sz w:val="19"/>
      <w:szCs w:val="19"/>
      <w:u w:val="none"/>
    </w:rPr>
  </w:style>
  <w:style w:type="paragraph" w:customStyle="1" w:styleId="Style12">
    <w:name w:val="Заголовок №2"/>
    <w:basedOn w:val="Normal"/>
    <w:link w:val="CharStyle13"/>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7">
    <w:name w:val="Основной текст"/>
    <w:basedOn w:val="Normal"/>
    <w:link w:val="CharStyle18"/>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9">
    <w:name w:val="Основной текст (4)"/>
    <w:basedOn w:val="Normal"/>
    <w:link w:val="CharStyle20"/>
    <w:pPr>
      <w:widowControl w:val="0"/>
      <w:shd w:val="clear" w:color="auto" w:fill="auto"/>
    </w:pPr>
    <w:rPr>
      <w:rFonts w:ascii="Georgia" w:eastAsia="Georgia" w:hAnsi="Georgia" w:cs="Georgia"/>
      <w:b w:val="0"/>
      <w:bCs w:val="0"/>
      <w:i w:val="0"/>
      <w:iCs w:val="0"/>
      <w:smallCaps w:val="0"/>
      <w:strike w:val="0"/>
      <w:color w:val="232323"/>
      <w:sz w:val="11"/>
      <w:szCs w:val="11"/>
      <w:u w:val="none"/>
    </w:rPr>
  </w:style>
  <w:style w:type="paragraph" w:customStyle="1" w:styleId="Style23">
    <w:name w:val="Заголовок №1"/>
    <w:basedOn w:val="Normal"/>
    <w:link w:val="CharStyle24"/>
    <w:pPr>
      <w:widowControl w:val="0"/>
      <w:shd w:val="clear" w:color="auto" w:fill="auto"/>
      <w:spacing w:after="260"/>
      <w:outlineLvl w:val="0"/>
    </w:pPr>
    <w:rPr>
      <w:rFonts w:ascii="Arial" w:eastAsia="Arial" w:hAnsi="Arial" w:cs="Arial"/>
      <w:b w:val="0"/>
      <w:bCs w:val="0"/>
      <w:i w:val="0"/>
      <w:iCs w:val="0"/>
      <w:smallCaps w:val="0"/>
      <w:strike w:val="0"/>
      <w:sz w:val="32"/>
      <w:szCs w:val="32"/>
      <w:u w:val="none"/>
    </w:rPr>
  </w:style>
  <w:style w:type="paragraph" w:customStyle="1" w:styleId="Style26">
    <w:name w:val="Заголовок №3"/>
    <w:basedOn w:val="Normal"/>
    <w:link w:val="CharStyle27"/>
    <w:pPr>
      <w:widowControl w:val="0"/>
      <w:shd w:val="clear" w:color="auto" w:fill="auto"/>
      <w:spacing w:after="130"/>
      <w:outlineLvl w:val="2"/>
    </w:pPr>
    <w:rPr>
      <w:rFonts w:ascii="Times New Roman" w:eastAsia="Times New Roman" w:hAnsi="Times New Roman" w:cs="Times New Roman"/>
      <w:b w:val="0"/>
      <w:bCs w:val="0"/>
      <w:i w:val="0"/>
      <w:iCs w:val="0"/>
      <w:smallCaps w:val="0"/>
      <w:strike w:val="0"/>
      <w:sz w:val="26"/>
      <w:szCs w:val="26"/>
      <w:u w:val="none"/>
    </w:rPr>
  </w:style>
  <w:style w:type="paragraph" w:customStyle="1" w:styleId="Style29">
    <w:name w:val="Подпись к картинке"/>
    <w:basedOn w:val="Normal"/>
    <w:link w:val="CharStyle30"/>
    <w:pPr>
      <w:widowControl w:val="0"/>
      <w:shd w:val="clear" w:color="auto" w:fill="auto"/>
    </w:pPr>
    <w:rPr>
      <w:rFonts w:ascii="Georgia" w:eastAsia="Georgia" w:hAnsi="Georgia" w:cs="Georgia"/>
      <w:b w:val="0"/>
      <w:bCs w:val="0"/>
      <w:i w:val="0"/>
      <w:iCs w:val="0"/>
      <w:smallCaps w:val="0"/>
      <w:strike w:val="0"/>
      <w:color w:val="232323"/>
      <w:sz w:val="11"/>
      <w:szCs w:val="11"/>
      <w:u w:val="none"/>
    </w:rPr>
  </w:style>
  <w:style w:type="paragraph" w:customStyle="1" w:styleId="Style33">
    <w:name w:val="Основной текст (2)"/>
    <w:basedOn w:val="Normal"/>
    <w:link w:val="CharStyle34"/>
    <w:pPr>
      <w:widowControl w:val="0"/>
      <w:shd w:val="clear" w:color="auto" w:fill="auto"/>
      <w:ind w:left="3100"/>
    </w:pPr>
    <w:rPr>
      <w:rFonts w:ascii="Arial" w:eastAsia="Arial" w:hAnsi="Arial" w:cs="Arial"/>
      <w:b w:val="0"/>
      <w:bCs w:val="0"/>
      <w:i w:val="0"/>
      <w:iCs w:val="0"/>
      <w:smallCaps w:val="0"/>
      <w:strike w:val="0"/>
      <w:color w:val="5B5B5B"/>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image" Target="media/image1.jpeg"/><Relationship Id="rId10" Type="http://schemas.openxmlformats.org/officeDocument/2006/relationships/image" Target="media/image1.jpeg" TargetMode="Externa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s>
</file>