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Башкортостан</w:t>
      </w:r>
    </w:p>
    <w:p>
      <w:pPr>
        <w:pStyle w:val="Style5"/>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Пушкина, 95, г. Уфа, 450008</w:t>
        <w:br/>
        <w:t>тел. (347) 273-34-05, факс (347) 272-58-82</w:t>
      </w:r>
    </w:p>
    <w:p>
      <w:pPr>
        <w:pStyle w:val="Style5"/>
        <w:keepNext w:val="0"/>
        <w:keepLines w:val="0"/>
        <w:widowControl w:val="0"/>
        <w:shd w:val="clear" w:color="auto" w:fill="auto"/>
        <w:bidi w:val="0"/>
        <w:spacing w:before="0" w:after="420" w:line="269" w:lineRule="auto"/>
        <w:ind w:left="0" w:right="0" w:firstLine="0"/>
        <w:jc w:val="center"/>
      </w:pPr>
      <w:r>
        <w:rPr>
          <w:spacing w:val="0"/>
          <w:w w:val="100"/>
          <w:position w:val="0"/>
          <w:shd w:val="clear" w:color="auto" w:fill="auto"/>
          <w:lang w:val="ru-RU" w:eastAsia="ru-RU" w:bidi="ru-RU"/>
        </w:rPr>
        <w:t>е-тай: 1о02й,Га5.2о\'.ги</w:t>
      </w:r>
    </w:p>
    <w:p>
      <w:pPr>
        <w:pStyle w:val="Style8"/>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both"/>
      </w:pPr>
      <w:r>
        <w:rPr>
          <w:b w:val="0"/>
          <w:bCs w:val="0"/>
          <w:spacing w:val="0"/>
          <w:w w:val="100"/>
          <w:position w:val="0"/>
          <w:shd w:val="clear" w:color="auto" w:fill="auto"/>
          <w:lang w:val="ru-RU" w:eastAsia="ru-RU" w:bidi="ru-RU"/>
        </w:rPr>
        <w:tab/>
        <w:t xml:space="preserve"> №</w:t>
        <w:tab/>
      </w:r>
    </w:p>
    <w:p>
      <w:pPr>
        <w:pStyle w:val="Style8"/>
        <w:keepNext w:val="0"/>
        <w:keepLines w:val="0"/>
        <w:widowControl w:val="0"/>
        <w:shd w:val="clear" w:color="auto" w:fill="auto"/>
        <w:bidi w:val="0"/>
        <w:spacing w:before="0" w:after="0" w:line="240" w:lineRule="auto"/>
        <w:ind w:left="0" w:right="0" w:firstLine="0"/>
        <w:jc w:val="center"/>
      </w:pPr>
      <w:r>
        <w:rPr>
          <w:b w:val="0"/>
          <w:bCs w:val="0"/>
          <w:spacing w:val="0"/>
          <w:w w:val="100"/>
          <w:position w:val="0"/>
          <w:shd w:val="clear" w:color="auto" w:fill="auto"/>
          <w:lang w:val="ru-RU" w:eastAsia="ru-RU" w:bidi="ru-RU"/>
        </w:rPr>
        <w:t xml:space="preserve">На№  от</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Госкомитет РБ по конкурентной политике</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дкт8ег@Ъа8кког1о81ап.ги</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Ильмухаметова Гузель Исламовна</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РТ г.Казань,ул.Рахимова,21,а/я</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108,420006</w:t>
      </w:r>
    </w:p>
    <w:p>
      <w:pPr>
        <w:pStyle w:val="Style11"/>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858" w:bottom="1313" w:left="1140" w:header="0" w:footer="3" w:gutter="0"/>
          <w:pgNumType w:start="1"/>
          <w:cols w:num="2" w:space="720" w:equalWidth="0">
            <w:col w:w="4061" w:space="1205"/>
            <w:col w:w="4637"/>
          </w:cols>
          <w:noEndnote/>
          <w:titlePg/>
          <w:rtlGutter w:val="0"/>
          <w:docGrid w:linePitch="360"/>
        </w:sectPr>
      </w:pPr>
      <w:r>
        <w:rPr>
          <w:color w:val="000000"/>
          <w:spacing w:val="0"/>
          <w:w w:val="100"/>
          <w:position w:val="0"/>
          <w:shd w:val="clear" w:color="auto" w:fill="auto"/>
          <w:lang w:val="ru-RU" w:eastAsia="ru-RU" w:bidi="ru-RU"/>
        </w:rPr>
        <w:t>дихе1.тГо@тай.ги</w:t>
      </w:r>
    </w:p>
    <w:p>
      <w:pPr>
        <w:widowControl w:val="0"/>
        <w:spacing w:before="97" w:after="9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89" w:right="0" w:bottom="1307" w:left="0" w:header="0" w:footer="3" w:gutter="0"/>
          <w:cols w:space="720"/>
          <w:noEndnote/>
          <w:rtlGutter w:val="0"/>
          <w:docGrid w:linePitch="360"/>
        </w:sectPr>
      </w:pPr>
    </w:p>
    <w:p>
      <w:pPr>
        <w:pStyle w:val="Style13"/>
        <w:keepNext w:val="0"/>
        <w:keepLines w:val="0"/>
        <w:widowControl w:val="0"/>
        <w:shd w:val="clear" w:color="auto" w:fill="auto"/>
        <w:bidi w:val="0"/>
        <w:spacing w:before="0" w:after="88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 ТО002/06/106-1931/2024</w:t>
      </w:r>
    </w:p>
    <w:p>
      <w:pPr>
        <w:pStyle w:val="Style11"/>
        <w:keepNext w:val="0"/>
        <w:keepLines w:val="0"/>
        <w:widowControl w:val="0"/>
        <w:shd w:val="clear" w:color="auto" w:fill="auto"/>
        <w:tabs>
          <w:tab w:pos="7238"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24 сентября 2024 года</w:t>
        <w:tab/>
        <w:t>г. Уфа, ул. Пушкина, 95</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Башкортостан по контролю в сфере закупок в составе: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Председатель Комиссии - начальник отдела контроля закупок Управления Федеральной антимонопольной службы по Республике Башкортостан - Исламгулов С.Ф.;</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главный специалист - эксперт контроля закупок - Ларшутин Р.С.;</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специалист - эксперт отдела контроля закупок - Шайхуллин В.Э.;</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Посредством видеоконференцсвязи:</w:t>
      </w:r>
    </w:p>
    <w:p>
      <w:pPr>
        <w:pStyle w:val="Style11"/>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Уполномоченное учреждение</w:t>
      </w:r>
      <w:r>
        <w:rPr>
          <w:color w:val="000000"/>
          <w:spacing w:val="0"/>
          <w:w w:val="100"/>
          <w:position w:val="0"/>
          <w:shd w:val="clear" w:color="auto" w:fill="auto"/>
          <w:lang w:val="ru-RU" w:eastAsia="ru-RU" w:bidi="ru-RU"/>
        </w:rPr>
        <w:t>: Государственный комитет Республики Башкортостан по конкурентной политике</w:t>
      </w:r>
    </w:p>
    <w:p>
      <w:pPr>
        <w:pStyle w:val="Style11"/>
        <w:keepNext w:val="0"/>
        <w:keepLines w:val="0"/>
        <w:widowControl w:val="0"/>
        <w:numPr>
          <w:ilvl w:val="0"/>
          <w:numId w:val="1"/>
        </w:numPr>
        <w:shd w:val="clear" w:color="auto" w:fill="auto"/>
        <w:tabs>
          <w:tab w:pos="112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 присутствии представителя.</w:t>
      </w:r>
    </w:p>
    <w:p>
      <w:pPr>
        <w:pStyle w:val="Style11"/>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Заказчик</w:t>
      </w:r>
      <w:r>
        <w:rPr>
          <w:color w:val="000000"/>
          <w:spacing w:val="0"/>
          <w:w w:val="100"/>
          <w:position w:val="0"/>
          <w:shd w:val="clear" w:color="auto" w:fill="auto"/>
          <w:lang w:val="ru-RU" w:eastAsia="ru-RU" w:bidi="ru-RU"/>
        </w:rPr>
        <w:t>: Государственное бюджетное учреждение здравоохранения Республики Башкортостан Городская клиническая больница № 13 г. Уфа</w:t>
      </w:r>
    </w:p>
    <w:p>
      <w:pPr>
        <w:pStyle w:val="Style11"/>
        <w:keepNext w:val="0"/>
        <w:keepLines w:val="0"/>
        <w:widowControl w:val="0"/>
        <w:numPr>
          <w:ilvl w:val="0"/>
          <w:numId w:val="1"/>
        </w:numPr>
        <w:shd w:val="clear" w:color="auto" w:fill="auto"/>
        <w:tabs>
          <w:tab w:pos="112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 присутствии представителя.</w:t>
      </w:r>
    </w:p>
    <w:p>
      <w:pPr>
        <w:pStyle w:val="Style11"/>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ИП Ильмухаметова Г.И.</w:t>
      </w:r>
    </w:p>
    <w:p>
      <w:pPr>
        <w:pStyle w:val="Style11"/>
        <w:keepNext w:val="0"/>
        <w:keepLines w:val="0"/>
        <w:widowControl w:val="0"/>
        <w:numPr>
          <w:ilvl w:val="0"/>
          <w:numId w:val="1"/>
        </w:numPr>
        <w:shd w:val="clear" w:color="auto" w:fill="auto"/>
        <w:tabs>
          <w:tab w:pos="1127" w:val="left"/>
        </w:tabs>
        <w:bidi w:val="0"/>
        <w:spacing w:before="0" w:after="280" w:line="240" w:lineRule="auto"/>
        <w:ind w:left="0" w:right="0" w:firstLine="860"/>
        <w:jc w:val="both"/>
      </w:pPr>
      <w:r>
        <w:rPr>
          <w:color w:val="000000"/>
          <w:spacing w:val="0"/>
          <w:w w:val="100"/>
          <w:position w:val="0"/>
          <w:shd w:val="clear" w:color="auto" w:fill="auto"/>
          <w:lang w:val="ru-RU" w:eastAsia="ru-RU" w:bidi="ru-RU"/>
        </w:rPr>
        <w:t>Без участия.</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 адрес Управления Федеральной антимонопольной службы по Республике </w:t>
      </w:r>
      <w:r>
        <w:rPr>
          <w:color w:val="000000"/>
          <w:spacing w:val="0"/>
          <w:w w:val="100"/>
          <w:position w:val="0"/>
          <w:shd w:val="clear" w:color="auto" w:fill="auto"/>
          <w:lang w:val="ru-RU" w:eastAsia="ru-RU" w:bidi="ru-RU"/>
        </w:rPr>
        <w:t>Башкортостан поступила жалоба от ИП Ильмухаметова Г.И. (вх. № 15676/24 от 18.09.2024) на действия закупочной комиссии Заказчика при определении поставщика путем проведения закупки № 0101500000324000488 «Закупка шовного материала (Нить хирургическая полиамидная, мононить) на 2024-2025гг.».</w:t>
      </w:r>
    </w:p>
    <w:p>
      <w:pPr>
        <w:widowControl w:val="0"/>
        <w:spacing w:line="1" w:lineRule="exact"/>
      </w:pPr>
      <w:r>
        <w:drawing>
          <wp:anchor distT="139700" distB="0" distL="0" distR="0" simplePos="0" relativeHeight="125829378" behindDoc="0" locked="0" layoutInCell="1" allowOverlap="1">
            <wp:simplePos x="0" y="0"/>
            <wp:positionH relativeFrom="page">
              <wp:posOffset>714375</wp:posOffset>
            </wp:positionH>
            <wp:positionV relativeFrom="paragraph">
              <wp:posOffset>139700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По мнению Заявителя, комиссией 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рассмотрение заявок нарушает нормы действующего законодательства.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Жалоба подана в соответствии с требованиями Закона о контрактной системе.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Информация о поступлении жалобы в соответствии с ч. 1 ст. 106 Закона о контрактной системе размещена в единой информационной системе.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 0101500000324000488 «Закупка шовного материала (Нить хирургическая полиамидная, мононить) на 2024-2025гг.».</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Башкортостанского УФАС России (далее - Комиссия) изучив и рассмотрев представленные материалы дела, установила следующее.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Заявитель в жалобе указал, что Заказчик неправомерно отклонил заявку Заявителя.</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17.09.2024 №ИЭА1 комиссия указала следующую причину отклонения заявки Заявителя:</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«Несоответствие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требованиям, установленным в извещении об осуществлении закупки (п.1 ч.12 ст.48 44-ФЗ).</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Причина отклонения.</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 участник закупки в заявке в позициях № 1-7 указал РУ «№РЗН 20224/22898 от "11" июня 2024 г.», Регистрационное удостоверение с данным номером в Реестре зарегистрированных медицинских изделий отсутствует, что не соответствует требованиям извещения.</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2. Пунктом 5.2.1 «Требований к содержанию и составу заявки на участие в совместном электронном аукционе и инструкции по ее заполнению» (п.п. «а», п. 2 ч.1 ст. 43 Закона № 44-ФЗ) установлено, что участник закупки в отношении объекта закупки указывает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Согласно инструкции по заполнению заявки на участие в электронном аукционе все предлагаемые Участником закупки товары должны быть заявлены в полном строгом соответствии с наименованием товара указанным в Регистрационном удостоверении с обязательным указанием точных вариантов исполнения, указанных в приложении к </w:t>
      </w:r>
      <w:r>
        <w:rPr>
          <w:color w:val="000000"/>
          <w:spacing w:val="0"/>
          <w:w w:val="100"/>
          <w:position w:val="0"/>
          <w:shd w:val="clear" w:color="auto" w:fill="auto"/>
          <w:lang w:val="ru-RU" w:eastAsia="ru-RU" w:bidi="ru-RU"/>
        </w:rPr>
        <w:t xml:space="preserve">регистрационному удостоверению (при его наличии). Участник закупки в составе заявки указал и представил РУ №РЗН 2021/14913 от 28 июля 2021 года на предлагаемый товар, </w:t>
      </w:r>
      <w:r>
        <w:rPr>
          <w:b/>
          <w:bCs/>
          <w:color w:val="000000"/>
          <w:spacing w:val="0"/>
          <w:w w:val="100"/>
          <w:position w:val="0"/>
          <w:shd w:val="clear" w:color="auto" w:fill="auto"/>
          <w:lang w:val="ru-RU" w:eastAsia="ru-RU" w:bidi="ru-RU"/>
        </w:rPr>
        <w:t>при этом не указал точный вариант исполнения по позиции 11</w:t>
      </w:r>
      <w:r>
        <w:rPr>
          <w:color w:val="000000"/>
          <w:spacing w:val="0"/>
          <w:w w:val="100"/>
          <w:position w:val="0"/>
          <w:shd w:val="clear" w:color="auto" w:fill="auto"/>
          <w:lang w:val="ru-RU" w:eastAsia="ru-RU" w:bidi="ru-RU"/>
        </w:rPr>
        <w:t>, что не соответствует требованиям извещения об осуществлении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Комиссией было установлено, что в аукционе принимало участие 2 заявки.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пп. а) п. 1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 члены комиссии по осуществлению закупок:</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 2 ч. 12 ст.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 3 ч. 6 ст. 43 Закона о контрактной системе при проведении электронных процедур, закрытых электронных процедур: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"н"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ч. 5 ст. 49 Закона о контрактной системе, 5.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1"/>
        <w:keepNext w:val="0"/>
        <w:keepLines w:val="0"/>
        <w:widowControl w:val="0"/>
        <w:numPr>
          <w:ilvl w:val="0"/>
          <w:numId w:val="3"/>
        </w:numPr>
        <w:shd w:val="clear" w:color="auto" w:fill="auto"/>
        <w:tabs>
          <w:tab w:pos="1192"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члены комиссии по осуществлению закупок:</w:t>
      </w:r>
    </w:p>
    <w:p>
      <w:pPr>
        <w:pStyle w:val="Style11"/>
        <w:keepNext w:val="0"/>
        <w:keepLines w:val="0"/>
        <w:widowControl w:val="0"/>
        <w:numPr>
          <w:ilvl w:val="0"/>
          <w:numId w:val="5"/>
        </w:numPr>
        <w:shd w:val="clear" w:color="auto" w:fill="auto"/>
        <w:tabs>
          <w:tab w:pos="1191" w:val="left"/>
        </w:tabs>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w:t>
      </w:r>
      <w:r>
        <w:rPr>
          <w:color w:val="000000"/>
          <w:spacing w:val="0"/>
          <w:w w:val="100"/>
          <w:position w:val="0"/>
          <w:shd w:val="clear" w:color="auto" w:fill="auto"/>
          <w:lang w:val="ru-RU" w:eastAsia="ru-RU" w:bidi="ru-RU"/>
        </w:rPr>
        <w:t>на участие в закупке по основаниям, предусмотренным пунктами 1 - 8 части 12 статьи 48 настоящего Федерального закона;</w:t>
      </w:r>
    </w:p>
    <w:p>
      <w:pPr>
        <w:pStyle w:val="Style11"/>
        <w:keepNext w:val="0"/>
        <w:keepLines w:val="0"/>
        <w:widowControl w:val="0"/>
        <w:numPr>
          <w:ilvl w:val="0"/>
          <w:numId w:val="5"/>
        </w:numPr>
        <w:shd w:val="clear" w:color="auto" w:fill="auto"/>
        <w:tabs>
          <w:tab w:pos="1215"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1"/>
        <w:keepNext w:val="0"/>
        <w:keepLines w:val="0"/>
        <w:widowControl w:val="0"/>
        <w:numPr>
          <w:ilvl w:val="0"/>
          <w:numId w:val="3"/>
        </w:numPr>
        <w:shd w:val="clear" w:color="auto" w:fill="auto"/>
        <w:tabs>
          <w:tab w:pos="1210"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Заявитель отразил в жалобе следующее: «1.В позициях 1-7 к поставке был предложен шовный хирургический материал производства ООО «Футберг» РУ РЗН 2024/22898 от "11" июня 2024 г.», ошибочно лишняя цифра указанная в обозначении года ( 20224) не препятствует Заказчику идентифицировать предложенные к поставке товары, так как согласно аукционной документации , так как к заявке было приложено РУ РЗН 2024/22898 от "11" июня 2024 г. , иное РУ на данные позиции отсутствовало.</w:t>
      </w:r>
    </w:p>
    <w:p>
      <w:pPr>
        <w:pStyle w:val="Style11"/>
        <w:keepNext w:val="0"/>
        <w:keepLines w:val="0"/>
        <w:widowControl w:val="0"/>
        <w:numPr>
          <w:ilvl w:val="0"/>
          <w:numId w:val="3"/>
        </w:numPr>
        <w:shd w:val="clear" w:color="auto" w:fill="auto"/>
        <w:tabs>
          <w:tab w:pos="118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по позиции 11 было представлено РУ № РЗН 2021/14913 от 28 июля 2021</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указанной позиции содержится наименование медицинского изделия в соответствии с РУ , а именно : Материалы хирургические нерассасывающиеся шовные стерильные с иглами атравматическими или без игл, с принадлежностями или без них по ТУ 21.20.24-099-406867792020 в вариантах исполнения : НЕЙЛОН»</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Заказчик в возражении указал, что согласно пункту 3 Инструкции по заполнению заявки на участие в электронном аукционе: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Все предлагаемые Участником закупки товары должны быть заявлены в </w:t>
      </w:r>
      <w:r>
        <w:rPr>
          <w:b/>
          <w:bCs/>
          <w:color w:val="000000"/>
          <w:spacing w:val="0"/>
          <w:w w:val="100"/>
          <w:position w:val="0"/>
          <w:shd w:val="clear" w:color="auto" w:fill="auto"/>
          <w:lang w:val="ru-RU" w:eastAsia="ru-RU" w:bidi="ru-RU"/>
        </w:rPr>
        <w:t xml:space="preserve">полном строгом соответствии с наименованием товара </w:t>
      </w:r>
      <w:r>
        <w:rPr>
          <w:color w:val="000000"/>
          <w:spacing w:val="0"/>
          <w:w w:val="100"/>
          <w:position w:val="0"/>
          <w:shd w:val="clear" w:color="auto" w:fill="auto"/>
          <w:lang w:val="ru-RU" w:eastAsia="ru-RU" w:bidi="ru-RU"/>
        </w:rPr>
        <w:t>указанным в Регистрационном удостоверении с обязательным указанием точных вариантов исполнения, указанных в приложении к регистрационному удостоверению (при его наличии);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Предложение участника в отношении объекта закупки должно содержать конкретные значения характеристик.</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Предложение участника в отношении объекта закупки должно полностью соответствовать требованиям к такому объекту, установленным заказчиком в описании объекта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При рассмотрении заявки участника комиссия вправе проверять достоверность предоставленных сведений в отношении предлагаемого к поставке товара, а также его товарного знака (его словесного обозначения) (при наличии), знака обслуживания (при наличии), фирменного наименования (при наличии), патента (при наличии), полезной модели (при наличии), промышленного образца (при наличии), наименования страны происхождения товара.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Информация, содержащаяся в заявке на участие в электронном аукционе, не должна допускать двусмысленных толкований (разночтений), должна трактоваться однозначно.</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Ответственность за достоверность сведений о конкретных значениях характеристик товара, товарном знаке (при наличии), наименовании страны происхождения товара, указанных в заявке на участие в аукционе в электронной форме, несет участник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Как было установлено комиссией, РУ №РЗН 2021/14913 от 28 июля 2021 года на предлагаемый товар, которое указано в заявке Заявителя, содержит различные варианты исполнения, которые, однако, не были отражены в заявке.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Изучив содержание жалобы, комиссией не установлено доказательств того, что закупочная комиссия необоснованно отклонила заявку ИП Ильмухаметовой Г.И.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Представитель Заявитель отсутствовал на заседании комиссии, равно как и не было направлено информации и документов, подтверждающих неправомерность действий Заказчика.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Комиссией установлено, что </w:t>
      </w:r>
      <w:r>
        <w:rPr>
          <w:color w:val="010101"/>
          <w:spacing w:val="0"/>
          <w:w w:val="100"/>
          <w:position w:val="0"/>
          <w:shd w:val="clear" w:color="auto" w:fill="auto"/>
          <w:lang w:val="ru-RU" w:eastAsia="ru-RU" w:bidi="ru-RU"/>
        </w:rPr>
        <w:t>комиссия Заказчика правомерно отклонила заявку Заявителя.</w:t>
      </w:r>
    </w:p>
    <w:p>
      <w:pPr>
        <w:pStyle w:val="Style11"/>
        <w:keepNext w:val="0"/>
        <w:keepLines w:val="0"/>
        <w:widowControl w:val="0"/>
        <w:shd w:val="clear" w:color="auto" w:fill="auto"/>
        <w:bidi w:val="0"/>
        <w:spacing w:before="0" w:after="0" w:line="240" w:lineRule="auto"/>
        <w:ind w:left="0" w:right="0" w:firstLine="860"/>
        <w:jc w:val="both"/>
      </w:pPr>
      <w:r>
        <w:rPr>
          <w:color w:val="010101"/>
          <w:spacing w:val="0"/>
          <w:w w:val="100"/>
          <w:position w:val="0"/>
          <w:shd w:val="clear" w:color="auto" w:fill="auto"/>
          <w:lang w:val="ru-RU" w:eastAsia="ru-RU" w:bidi="ru-RU"/>
        </w:rPr>
        <w:t>Жалоба признается необоснованной.</w:t>
      </w:r>
    </w:p>
    <w:p>
      <w:pPr>
        <w:pStyle w:val="Style11"/>
        <w:keepNext w:val="0"/>
        <w:keepLines w:val="0"/>
        <w:widowControl w:val="0"/>
        <w:shd w:val="clear" w:color="auto" w:fill="auto"/>
        <w:bidi w:val="0"/>
        <w:spacing w:before="0" w:after="280" w:line="240" w:lineRule="auto"/>
        <w:ind w:left="0" w:right="0" w:firstLine="860"/>
        <w:jc w:val="both"/>
      </w:pPr>
      <w:r>
        <w:rPr>
          <w:color w:val="010101"/>
          <w:spacing w:val="0"/>
          <w:w w:val="100"/>
          <w:position w:val="0"/>
          <w:shd w:val="clear" w:color="auto" w:fill="auto"/>
          <w:lang w:val="ru-RU" w:eastAsia="ru-RU" w:bidi="ru-RU"/>
        </w:rPr>
        <w:t>На основании вышеизложенного и руководствуясь ст.99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11"/>
        <w:keepNext w:val="0"/>
        <w:keepLines w:val="0"/>
        <w:widowControl w:val="0"/>
        <w:shd w:val="clear" w:color="auto" w:fill="auto"/>
        <w:bidi w:val="0"/>
        <w:spacing w:before="0" w:after="280" w:line="240" w:lineRule="auto"/>
        <w:ind w:left="0" w:right="0" w:firstLine="0"/>
        <w:jc w:val="center"/>
      </w:pPr>
      <w:r>
        <w:rPr>
          <w:b/>
          <w:bCs/>
          <w:color w:val="010101"/>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280" w:line="240" w:lineRule="auto"/>
        <w:ind w:left="0" w:right="0" w:firstLine="860"/>
        <w:jc w:val="both"/>
      </w:pPr>
      <w:r>
        <w:rPr>
          <w:color w:val="010101"/>
          <w:spacing w:val="0"/>
          <w:w w:val="100"/>
          <w:position w:val="0"/>
          <w:shd w:val="clear" w:color="auto" w:fill="auto"/>
          <w:lang w:val="ru-RU" w:eastAsia="ru-RU" w:bidi="ru-RU"/>
        </w:rPr>
        <w:t>Признать жалобу ИП Ильмухаметовой Г.И. необоснованной.</w:t>
      </w:r>
    </w:p>
    <w:p>
      <w:pPr>
        <w:pStyle w:val="Style11"/>
        <w:keepNext w:val="0"/>
        <w:keepLines w:val="0"/>
        <w:widowControl w:val="0"/>
        <w:shd w:val="clear" w:color="auto" w:fill="auto"/>
        <w:bidi w:val="0"/>
        <w:spacing w:before="0" w:after="280" w:line="240" w:lineRule="auto"/>
        <w:ind w:left="0" w:right="0" w:firstLine="860"/>
        <w:jc w:val="both"/>
      </w:pPr>
      <w:r>
        <w:rPr>
          <w:color w:val="010101"/>
          <w:spacing w:val="0"/>
          <w:w w:val="100"/>
          <w:position w:val="0"/>
          <w:shd w:val="clear" w:color="auto" w:fill="auto"/>
          <w:lang w:val="ru-RU" w:eastAsia="ru-RU" w:bidi="ru-RU"/>
        </w:rPr>
        <w:t>Решение может быть обжаловано в течение трех месяцев со дня его принятия.</w:t>
      </w:r>
    </w:p>
    <w:p>
      <w:pPr>
        <w:pStyle w:val="Style11"/>
        <w:keepNext w:val="0"/>
        <w:keepLines w:val="0"/>
        <w:widowControl w:val="0"/>
        <w:shd w:val="clear" w:color="auto" w:fill="auto"/>
        <w:tabs>
          <w:tab w:pos="8122" w:val="left"/>
        </w:tabs>
        <w:bidi w:val="0"/>
        <w:spacing w:before="0" w:after="240" w:line="240" w:lineRule="auto"/>
        <w:ind w:left="0" w:right="0" w:firstLine="0"/>
        <w:jc w:val="both"/>
      </w:pPr>
      <w:r>
        <w:rPr>
          <w:color w:val="010101"/>
          <w:spacing w:val="0"/>
          <w:w w:val="100"/>
          <w:position w:val="0"/>
          <w:shd w:val="clear" w:color="auto" w:fill="auto"/>
          <w:lang w:val="ru-RU" w:eastAsia="ru-RU" w:bidi="ru-RU"/>
        </w:rPr>
        <w:t>Председатель Комиссии</w:t>
        <w:tab/>
        <w:t>Исламгулов С.Ф.</w:t>
      </w:r>
    </w:p>
    <w:p>
      <w:pPr>
        <w:pStyle w:val="Style11"/>
        <w:keepNext w:val="0"/>
        <w:keepLines w:val="0"/>
        <w:widowControl w:val="0"/>
        <w:shd w:val="clear" w:color="auto" w:fill="auto"/>
        <w:tabs>
          <w:tab w:pos="8434" w:val="left"/>
        </w:tabs>
        <w:bidi w:val="0"/>
        <w:spacing w:before="0" w:after="280" w:line="240" w:lineRule="auto"/>
        <w:ind w:left="0" w:right="0" w:firstLine="0"/>
        <w:jc w:val="both"/>
      </w:pPr>
      <w:r>
        <w:rPr>
          <w:color w:val="010101"/>
          <w:spacing w:val="0"/>
          <w:w w:val="100"/>
          <w:position w:val="0"/>
          <w:shd w:val="clear" w:color="auto" w:fill="auto"/>
          <w:lang w:val="ru-RU" w:eastAsia="ru-RU" w:bidi="ru-RU"/>
        </w:rPr>
        <w:t>Члены комиссии</w:t>
        <w:tab/>
        <w:t>Ларшутин Р.С.</w:t>
      </w:r>
    </w:p>
    <w:p>
      <w:pPr>
        <w:pStyle w:val="Style11"/>
        <w:keepNext w:val="0"/>
        <w:keepLines w:val="0"/>
        <w:widowControl w:val="0"/>
        <w:shd w:val="clear" w:color="auto" w:fill="auto"/>
        <w:bidi w:val="0"/>
        <w:spacing w:before="0" w:after="280" w:line="240" w:lineRule="auto"/>
        <w:ind w:left="0" w:right="0" w:firstLine="0"/>
        <w:jc w:val="right"/>
        <w:sectPr>
          <w:footnotePr>
            <w:pos w:val="pageBottom"/>
            <w:numFmt w:val="decimal"/>
            <w:numRestart w:val="continuous"/>
          </w:footnotePr>
          <w:type w:val="continuous"/>
          <w:pgSz w:w="11900" w:h="16840"/>
          <w:pgMar w:top="489" w:right="538" w:bottom="1307" w:left="1104" w:header="0" w:footer="3" w:gutter="0"/>
          <w:cols w:space="720"/>
          <w:noEndnote/>
          <w:rtlGutter w:val="0"/>
          <w:docGrid w:linePitch="360"/>
        </w:sectPr>
      </w:pPr>
      <w:r>
        <w:rPr>
          <w:color w:val="010101"/>
          <w:spacing w:val="0"/>
          <w:w w:val="100"/>
          <w:position w:val="0"/>
          <w:shd w:val="clear" w:color="auto" w:fill="auto"/>
          <w:lang w:val="ru-RU" w:eastAsia="ru-RU" w:bidi="ru-RU"/>
        </w:rPr>
        <w:t>Шайхуллин В.Э.</w:t>
      </w:r>
    </w:p>
    <w:p>
      <w:pPr>
        <w:pStyle w:val="Style11"/>
        <w:keepNext w:val="0"/>
        <w:keepLines w:val="0"/>
        <w:framePr w:w="2198" w:h="394" w:wrap="none" w:hAnchor="page" w:x="1160"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Начальник отдела</w:t>
      </w:r>
    </w:p>
    <w:p>
      <w:pPr>
        <w:pStyle w:val="Style11"/>
        <w:keepNext w:val="0"/>
        <w:keepLines w:val="0"/>
        <w:framePr w:w="2078" w:h="394" w:wrap="none" w:hAnchor="page" w:x="9234"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С.Ф. Исламгулов</w:t>
      </w:r>
    </w:p>
    <w:p>
      <w:pPr>
        <w:pStyle w:val="Style19"/>
        <w:keepNext w:val="0"/>
        <w:keepLines w:val="0"/>
        <w:framePr w:w="2242" w:h="178" w:wrap="none" w:hAnchor="page" w:x="4799" w:y="3937"/>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Fonts w:ascii="Times New Roman" w:eastAsia="Times New Roman" w:hAnsi="Times New Roman" w:cs="Times New Roman"/>
          <w:b/>
          <w:bCs/>
          <w:color w:val="E7E7E7"/>
          <w:spacing w:val="0"/>
          <w:w w:val="100"/>
          <w:position w:val="0"/>
          <w:sz w:val="13"/>
          <w:szCs w:val="13"/>
          <w:shd w:val="clear" w:color="auto" w:fill="auto"/>
          <w:lang w:val="ru-RU" w:eastAsia="ru-RU" w:bidi="ru-RU"/>
        </w:rPr>
        <w:t>СВЕДЕНИЯ О СЕРТИФИКАТЕ ЭП</w:t>
      </w:r>
    </w:p>
    <w:p>
      <w:pPr>
        <w:pStyle w:val="Style19"/>
        <w:keepNext w:val="0"/>
        <w:keepLines w:val="0"/>
        <w:framePr w:w="3019" w:h="442" w:wrap="none" w:hAnchor="page" w:x="4722" w:y="339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widowControl w:val="0"/>
        <w:spacing w:line="360" w:lineRule="exact"/>
      </w:pPr>
      <w:r>
        <w:drawing>
          <wp:anchor distT="0" distB="0" distL="0" distR="1993265" simplePos="0" relativeHeight="62914694" behindDoc="1" locked="0" layoutInCell="1" allowOverlap="1">
            <wp:simplePos x="0" y="0"/>
            <wp:positionH relativeFrom="page">
              <wp:posOffset>2494915</wp:posOffset>
            </wp:positionH>
            <wp:positionV relativeFrom="margin">
              <wp:posOffset>2011680</wp:posOffset>
            </wp:positionV>
            <wp:extent cx="426720" cy="633730"/>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426720" cy="6337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1" w:line="1" w:lineRule="exact"/>
      </w:pPr>
    </w:p>
    <w:p>
      <w:pPr>
        <w:widowControl w:val="0"/>
        <w:spacing w:line="1" w:lineRule="exact"/>
        <w:sectPr>
          <w:footnotePr>
            <w:pos w:val="pageBottom"/>
            <w:numFmt w:val="decimal"/>
            <w:numRestart w:val="continuous"/>
          </w:footnotePr>
          <w:pgSz w:w="11900" w:h="16840"/>
          <w:pgMar w:top="1484" w:right="589" w:bottom="966" w:left="1106" w:header="0" w:footer="3" w:gutter="0"/>
          <w:cols w:space="720"/>
          <w:noEndnote/>
          <w:rtlGutter w:val="0"/>
          <w:docGrid w:linePitch="360"/>
        </w:sectPr>
      </w:pPr>
    </w:p>
    <w:p>
      <w:pPr>
        <w:pStyle w:val="Style22"/>
        <w:keepNext w:val="0"/>
        <w:keepLines w:val="0"/>
        <w:widowControl w:val="0"/>
        <w:shd w:val="clear" w:color="auto" w:fill="auto"/>
        <w:bidi w:val="0"/>
        <w:spacing w:before="0" w:after="0" w:line="240" w:lineRule="auto"/>
        <w:ind w:left="0" w:right="0" w:firstLine="0"/>
        <w:jc w:val="left"/>
      </w:pPr>
      <w:r>
        <w:rPr>
          <w:color w:val="353535"/>
          <w:spacing w:val="0"/>
          <w:w w:val="100"/>
          <w:position w:val="0"/>
          <w:sz w:val="13"/>
          <w:szCs w:val="13"/>
          <w:shd w:val="clear" w:color="auto" w:fill="auto"/>
          <w:lang w:val="ru-RU" w:eastAsia="ru-RU" w:bidi="ru-RU"/>
        </w:rPr>
        <w:t xml:space="preserve">Кому </w:t>
      </w:r>
      <w:r>
        <w:rPr>
          <w:color w:val="000000"/>
          <w:spacing w:val="0"/>
          <w:w w:val="100"/>
          <w:position w:val="0"/>
          <w:sz w:val="13"/>
          <w:szCs w:val="13"/>
          <w:shd w:val="clear" w:color="auto" w:fill="auto"/>
          <w:lang w:val="ru-RU" w:eastAsia="ru-RU" w:bidi="ru-RU"/>
        </w:rPr>
        <w:t xml:space="preserve">выдан: </w:t>
      </w:r>
      <w:r>
        <w:rPr>
          <w:color w:val="000000"/>
          <w:spacing w:val="0"/>
          <w:w w:val="100"/>
          <w:position w:val="0"/>
          <w:shd w:val="clear" w:color="auto" w:fill="auto"/>
          <w:lang w:val="ru-RU" w:eastAsia="ru-RU" w:bidi="ru-RU"/>
        </w:rPr>
        <w:t>Исламгулов Салават Фаритович</w:t>
      </w:r>
    </w:p>
    <w:p>
      <w:pPr>
        <w:pStyle w:val="Style2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00841 </w:t>
      </w:r>
      <w:r>
        <w:rPr>
          <w:spacing w:val="0"/>
          <w:w w:val="100"/>
          <w:position w:val="0"/>
          <w:shd w:val="clear" w:color="auto" w:fill="auto"/>
          <w:lang w:val="ru-RU" w:eastAsia="ru-RU" w:bidi="ru-RU"/>
        </w:rPr>
        <w:t>ВР2АРСВААЕР7ОО4О6032Р9СВ8ВОШ</w:t>
      </w:r>
    </w:p>
    <w:p>
      <w:pPr>
        <w:pStyle w:val="Style2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484" w:right="3992" w:bottom="1265" w:left="4010" w:header="0" w:footer="3" w:gutter="0"/>
          <w:cols w:space="720"/>
          <w:noEndnote/>
          <w:rtlGutter w:val="0"/>
          <w:docGrid w:linePitch="360"/>
        </w:sectPr>
      </w:pPr>
      <w:r>
        <w:rPr>
          <w:color w:val="616161"/>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16161"/>
          <w:spacing w:val="0"/>
          <w:w w:val="100"/>
          <w:position w:val="0"/>
          <w:shd w:val="clear" w:color="auto" w:fill="auto"/>
          <w:lang w:val="ru-RU" w:eastAsia="ru-RU" w:bidi="ru-RU"/>
        </w:rPr>
        <w:t>03.1</w:t>
      </w:r>
      <w:r>
        <w:rPr>
          <w:color w:val="7F7F7F"/>
          <w:spacing w:val="0"/>
          <w:w w:val="100"/>
          <w:position w:val="0"/>
          <w:shd w:val="clear" w:color="auto" w:fill="auto"/>
          <w:lang w:val="ru-RU" w:eastAsia="ru-RU" w:bidi="ru-RU"/>
        </w:rPr>
        <w:t>1</w:t>
      </w:r>
      <w:r>
        <w:rPr>
          <w:spacing w:val="0"/>
          <w:w w:val="100"/>
          <w:position w:val="0"/>
          <w:shd w:val="clear" w:color="auto" w:fill="auto"/>
          <w:lang w:val="ru-RU" w:eastAsia="ru-RU" w:bidi="ru-RU"/>
        </w:rPr>
        <w:t xml:space="preserve">.2023 </w:t>
      </w:r>
      <w:r>
        <w:rPr>
          <w:color w:val="7F7F7F"/>
          <w:spacing w:val="0"/>
          <w:w w:val="100"/>
          <w:position w:val="0"/>
          <w:shd w:val="clear" w:color="auto" w:fill="auto"/>
          <w:lang w:val="ru-RU" w:eastAsia="ru-RU" w:bidi="ru-RU"/>
        </w:rPr>
        <w:t xml:space="preserve">по </w:t>
      </w:r>
      <w:r>
        <w:rPr>
          <w:color w:val="616161"/>
          <w:spacing w:val="0"/>
          <w:w w:val="100"/>
          <w:position w:val="0"/>
          <w:shd w:val="clear" w:color="auto" w:fill="auto"/>
          <w:lang w:val="ru-RU" w:eastAsia="ru-RU" w:bidi="ru-RU"/>
        </w:rPr>
        <w:t>26.01</w:t>
      </w:r>
      <w:r>
        <w:rPr>
          <w:spacing w:val="0"/>
          <w:w w:val="100"/>
          <w:position w:val="0"/>
          <w:shd w:val="clear" w:color="auto" w:fill="auto"/>
          <w:lang w:val="ru-RU" w:eastAsia="ru-RU" w:bidi="ru-RU"/>
        </w:rPr>
        <w:t>.2025</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84" w:right="0" w:bottom="966" w:left="0" w:header="0" w:footer="3" w:gutter="0"/>
          <w:cols w:space="720"/>
          <w:noEndnote/>
          <w:rtlGutter w:val="0"/>
          <w:docGrid w:linePitch="360"/>
        </w:sectPr>
      </w:pPr>
    </w:p>
    <w:p>
      <w:pPr>
        <w:pStyle w:val="Style13"/>
        <w:keepNext w:val="0"/>
        <w:keepLines w:val="0"/>
        <w:framePr w:w="1853" w:h="566" w:wrap="none" w:vAnchor="text" w:hAnchor="page" w:x="1107"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Исп.Ларшутин Р.С.</w:t>
        <w:br/>
        <w:t>тел.(347) 216-33-54</w:t>
      </w:r>
    </w:p>
    <w:p>
      <w:pPr>
        <w:widowControl w:val="0"/>
        <w:spacing w:after="565" w:line="1" w:lineRule="exact"/>
      </w:pPr>
    </w:p>
    <w:p>
      <w:pPr>
        <w:widowControl w:val="0"/>
        <w:spacing w:line="1" w:lineRule="exact"/>
      </w:pPr>
    </w:p>
    <w:sectPr>
      <w:footnotePr>
        <w:pos w:val="pageBottom"/>
        <w:numFmt w:val="decimal"/>
        <w:numRestart w:val="continuous"/>
      </w:footnotePr>
      <w:type w:val="continuous"/>
      <w:pgSz w:w="11900" w:h="16840"/>
      <w:pgMar w:top="1484" w:right="589" w:bottom="9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10016490</wp:posOffset>
              </wp:positionV>
              <wp:extent cx="716280" cy="100330"/>
              <wp:wrapNone/>
              <wp:docPr id="2" name="Shape 2"/>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2024-13073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88.70000000000005pt;width:56.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2024-13073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6280" cy="100330"/>
              <wp:wrapNone/>
              <wp:docPr id="4" name="Shape 4"/>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2024-13073</w:t>
                          </w:r>
                        </w:p>
                      </w:txbxContent>
                    </wps:txbx>
                    <wps:bodyPr wrap="none" lIns="0" tIns="0" rIns="0" bIns="0">
                      <a:spAutoFit/>
                    </wps:bodyPr>
                  </wps:wsp>
                </a:graphicData>
              </a:graphic>
            </wp:anchor>
          </w:drawing>
        </mc:Choice>
        <mc:Fallback>
          <w:pict>
            <v:shape id="_x0000_s1030" type="#_x0000_t202" style="position:absolute;margin-left:57.pt;margin-top:776.2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2024-13073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8629A"/>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8629A"/>
      <w:sz w:val="19"/>
      <w:szCs w:val="19"/>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Основной текст (5)_"/>
    <w:basedOn w:val="DefaultParagraphFont"/>
    <w:link w:val="Style13"/>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22222"/>
      <w:sz w:val="12"/>
      <w:szCs w:val="12"/>
      <w:u w:val="none"/>
    </w:rPr>
  </w:style>
  <w:style w:type="character" w:customStyle="1" w:styleId="CharStyle23">
    <w:name w:val="Основной текст (6)_"/>
    <w:basedOn w:val="DefaultParagraphFont"/>
    <w:link w:val="Style22"/>
    <w:rPr>
      <w:rFonts w:ascii="Arial" w:eastAsia="Arial" w:hAnsi="Arial" w:cs="Arial"/>
      <w:b w:val="0"/>
      <w:bCs w:val="0"/>
      <w:i w:val="0"/>
      <w:iCs w:val="0"/>
      <w:smallCaps w:val="0"/>
      <w:strike w:val="0"/>
      <w:sz w:val="11"/>
      <w:szCs w:val="11"/>
      <w:u w:val="none"/>
    </w:rPr>
  </w:style>
  <w:style w:type="character" w:customStyle="1" w:styleId="CharStyle27">
    <w:name w:val="Основной текст (3)_"/>
    <w:basedOn w:val="DefaultParagraphFont"/>
    <w:link w:val="Style26"/>
    <w:rPr>
      <w:rFonts w:ascii="Arial" w:eastAsia="Arial" w:hAnsi="Arial" w:cs="Arial"/>
      <w:b w:val="0"/>
      <w:bCs w:val="0"/>
      <w:i w:val="0"/>
      <w:iCs w:val="0"/>
      <w:smallCaps w:val="0"/>
      <w:strike w:val="0"/>
      <w:color w:val="353535"/>
      <w:sz w:val="13"/>
      <w:szCs w:val="13"/>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140" w:line="278" w:lineRule="auto"/>
      <w:jc w:val="center"/>
    </w:pPr>
    <w:rPr>
      <w:rFonts w:ascii="Times New Roman" w:eastAsia="Times New Roman" w:hAnsi="Times New Roman" w:cs="Times New Roman"/>
      <w:b w:val="0"/>
      <w:bCs w:val="0"/>
      <w:i w:val="0"/>
      <w:iCs w:val="0"/>
      <w:smallCaps w:val="0"/>
      <w:strike w:val="0"/>
      <w:color w:val="48629A"/>
      <w:sz w:val="16"/>
      <w:szCs w:val="16"/>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8629A"/>
      <w:sz w:val="19"/>
      <w:szCs w:val="19"/>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Основной текст (5)"/>
    <w:basedOn w:val="Normal"/>
    <w:link w:val="CharStyle14"/>
    <w:pPr>
      <w:widowControl w:val="0"/>
      <w:shd w:val="clear" w:color="auto" w:fill="auto"/>
      <w:spacing w:after="440"/>
      <w:jc w:val="center"/>
    </w:pPr>
    <w:rPr>
      <w:rFonts w:ascii="Times New Roman" w:eastAsia="Times New Roman" w:hAnsi="Times New Roman" w:cs="Times New Roman"/>
      <w:b w:val="0"/>
      <w:bCs w:val="0"/>
      <w:i w:val="0"/>
      <w:iCs w:val="0"/>
      <w:smallCaps w:val="0"/>
      <w:strike w:val="0"/>
      <w:sz w:val="22"/>
      <w:szCs w:val="22"/>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22222"/>
      <w:sz w:val="12"/>
      <w:szCs w:val="12"/>
      <w:u w:val="none"/>
    </w:rPr>
  </w:style>
  <w:style w:type="paragraph" w:customStyle="1" w:styleId="Style22">
    <w:name w:val="Основной текст (6)"/>
    <w:basedOn w:val="Normal"/>
    <w:link w:val="CharStyle23"/>
    <w:pPr>
      <w:widowControl w:val="0"/>
      <w:shd w:val="clear" w:color="auto" w:fill="auto"/>
    </w:pPr>
    <w:rPr>
      <w:rFonts w:ascii="Arial" w:eastAsia="Arial" w:hAnsi="Arial" w:cs="Arial"/>
      <w:b w:val="0"/>
      <w:bCs w:val="0"/>
      <w:i w:val="0"/>
      <w:iCs w:val="0"/>
      <w:smallCaps w:val="0"/>
      <w:strike w:val="0"/>
      <w:sz w:val="11"/>
      <w:szCs w:val="11"/>
      <w:u w:val="none"/>
    </w:rPr>
  </w:style>
  <w:style w:type="paragraph" w:customStyle="1" w:styleId="Style26">
    <w:name w:val="Основной текст (3)"/>
    <w:basedOn w:val="Normal"/>
    <w:link w:val="CharStyle27"/>
    <w:pPr>
      <w:widowControl w:val="0"/>
      <w:shd w:val="clear" w:color="auto" w:fill="auto"/>
    </w:pPr>
    <w:rPr>
      <w:rFonts w:ascii="Arial" w:eastAsia="Arial" w:hAnsi="Arial" w:cs="Arial"/>
      <w:b w:val="0"/>
      <w:bCs w:val="0"/>
      <w:i w:val="0"/>
      <w:iCs w:val="0"/>
      <w:smallCaps w:val="0"/>
      <w:strike w:val="0"/>
      <w:color w:val="353535"/>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