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телефакс (4742) 27-14-82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 §оу.ги 11йр://11ре1бк.Га8.доу.ги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ИП/6081/2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учреждение здравоохранения «Центр скорой медицинской помощи и медицины катастроф Липецкой области» 1о8§тр@таП.ги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1108" w:bottom="1236" w:left="1140" w:header="0" w:footer="3" w:gutter="0"/>
          <w:pgNumType w:start="1"/>
          <w:cols w:num="2" w:space="878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«РЕГИОНАЛЬНЫЙ РЕАБИЛИТАЦИОННЫЙ ЦЕНТР» таП@ггс-1га4е.ги, 8ОVа20208^ика1оVа@уап^еx.^и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5" w:after="6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4" w:right="0" w:bottom="120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№048/06/106-855/2024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6076315</wp:posOffset>
                </wp:positionH>
                <wp:positionV relativeFrom="paragraph">
                  <wp:posOffset>12700</wp:posOffset>
                </wp:positionV>
                <wp:extent cx="999490" cy="23177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94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город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78.44999999999999pt;margin-top:1.pt;width:78.700000000000003pt;height:18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город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 сентября 2024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объявлена 24.09.2024 года.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25.09.2024 года.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в составе: председатель Комиссии: И.В. Поткина — руководитель управления, зам. председателя Комиссии: Т.Н. Ролдугина - начальник отдела контроля закупок и торгов, член Комиссии: Т.С. Рябкова — заместитель начальника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видеоконференцсвязи представителей ГУЗ «Центр скорой медицинской помощи и медицины катастроф Липецкой области»: Дедяевой С.С. (по доверенности), Лесниковой Л.П. (по доверенности),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«РЕГИОНАЛЬНЫЙ РЕАБИЛИТАЦИОННЫЙ ЦЕНТР» на положения извещения о проведении электронного аукциона на поставку реагента (глюкоза ИВД) (реестровый номер 0346200018024000052) (далее - электронный аукцион),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Липецкое УФАС России, посредством ЕИС, поступила жалоба ООО «РЕГИОНАЛЬНЫЙ РЕАБИЛИТАЦИОННЫЙ ЦЕНТР» (далее- заявитель) на положения извещения о проведении электронного аукциона (заказчик - ГУЗ «Центр скорой медицинской помощи и медицины катастроф Липецкой области»).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подготовлена в соответствии с требованиями статьи 105 Федерального закона от 05.04.2013 №44-ФЗ "О контрактной системе в сфере закупок товаров, работ, услуг для обеспечения государственных и муниципальных нужд" (далее также- Закон о контрактной системе) и подана в срок, установленный частью 4 статьи 105 Закона о контрактной системе. В связи с этим, жалоба была принята Липецким УФАС России к рассмотрению.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времени и месте рассмотрения жалобы размещены Липецким УФАС России в ЕИС в разделе «Жалобы».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осуществлялось в отсутствие представителей заявителя.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жалобы, заказчиком в описании объекта закупки установлено требование к количеству глюкометров, несоответствующее действительной потребности заказчика.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с доводом жалобы заявителя не согласен, представил письменные возражения.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 приложенные к ней материалы, а также другие документы (копии), представленные сторонами, выслушав мнение представителей заказчика, проведя внеплановую проверку на основании Приказа Липецкого УФАС России, Комиссия Липецкого УФАС России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на поставку реагента (глюкоза ИВД) (реестровый номер 0346200018024000052) с приложениями, размещено 12.09.2024 в ЕИС.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Дата и время окончания срока подачи заявок </w:t>
      </w:r>
      <w:r>
        <w:rPr>
          <w:color w:val="909EB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20.09.2024 09:00,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- 20.09.2024,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- 24.09.2024.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1 370 600,00 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системе, извещение об осуществлении закупки должно содержать описание объекта закупки в соответствии со ст. 33 Закона о контрактной системе в сфере закупок.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leader="underscore" w:pos="2222" w:val="left"/>
          <w:tab w:leader="underscore" w:pos="7550" w:val="left"/>
          <w:tab w:leader="underscore" w:pos="8846" w:val="left"/>
          <w:tab w:leader="underscore" w:pos="1009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Файл «Описание объекта закупки» содержит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соответствие):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  <w:tab/>
        <w:tab/>
      </w:r>
    </w:p>
    <w:tbl>
      <w:tblPr>
        <w:tblOverlap w:val="never"/>
        <w:jc w:val="center"/>
        <w:tblLayout w:type="fixed"/>
      </w:tblPr>
      <w:tblGrid>
        <w:gridCol w:w="518"/>
        <w:gridCol w:w="1762"/>
        <w:gridCol w:w="5328"/>
        <w:gridCol w:w="1296"/>
        <w:gridCol w:w="1258"/>
      </w:tblGrid>
      <w:tr>
        <w:trPr>
          <w:trHeight w:val="9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№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Номер КТРУ или ОКПД2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Наименование, требования к функциональным, техническим и качественным характеристикам товара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Единица измерени я товара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 тво товара</w:t>
            </w:r>
          </w:p>
        </w:tc>
      </w:tr>
      <w:tr>
        <w:trPr>
          <w:trHeight w:val="151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u w:val="single"/>
                <w:shd w:val="clear" w:color="auto" w:fill="auto"/>
                <w:lang w:val="ru-RU" w:eastAsia="ru-RU" w:bidi="ru-RU"/>
              </w:rPr>
              <w:t>21.20.23.110</w:t>
              <w:softHyphen/>
            </w:r>
            <w:r>
              <w:rPr>
                <w:color w:val="000000"/>
                <w:spacing w:val="0"/>
                <w:w w:val="100"/>
                <w:position w:val="0"/>
                <w:u w:val="single"/>
                <w:shd w:val="clear" w:color="auto" w:fill="auto"/>
                <w:lang w:val="ru-RU" w:eastAsia="ru-RU" w:bidi="ru-RU"/>
              </w:rPr>
              <w:t>00004459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Глюкоза ИВД, реагент.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Исполнение Тест-полоска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Исследуемый материал Цельная кровь.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Количество штук в упаковке &gt; 50 и &lt; 100.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Назначение для анализаторов ОпеТоисЬ Уепо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70000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РФ от 12.01.2023 \10 установлены особенности описания тест-полосок для определения содержания глюкозы в крови, являющихся объектом закупки для обеспечения государственных и муниципальных нужд (далее- Постановление \10).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пп.б п.1 Постановления \10 установлены следующие особенности описания тест-полосок для определения содержания глюкозы в крови, являющихся объектом закупки для обеспечения государственных и муниципальных нужд и предназначенных для анализатора уровня сахара крови портативного, соответствующего кодам 300680, 300690, 344110 вида медицинского изделия в соответствии с номенклатурной классификацией медицинских изделий (далее соответственно - тест-полоски, закупки, анализатор) в описании объекта закупки указываются возможность безвозмездной передачи заказчику новых анализаторов, совместимых с поставляемыми тест-полосками, в случае если поставщик при подаче заявки на участие в закупке предложил к поставке тест-полоски,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соответствующие показателям, указанным в описании объекта закупки в соответствии с частью 2 статьи 33 Федерального закона "О контрактной системе в сфере закупок товаров, работ, услуг для обеспечения государственных и муниципальных нужд", но являющиеся несовместимыми с анализатором, указанным в описании объекта закупки в соответствии с абзацем третьим настоящего подпункта;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возможность безвозмездной передачи заказчику новых анализаторов, совместимых с поставляемыми тест-полосками, в случае если поставщик при подаче заявки на участие в закупке предложил к поставке тест-полоски, соответствующие показателям, указанным в описании объекта закупки в соответствии с частью 2 статьи 33 Федерального закона "О контрактной системе в сфере закупок товаров, работ, услуг для обеспечения государственных и муниципальных нужд", но являющиеся несовместимыми с анализатором, указанным в описании объекта закупки в соответствии с абзацем третьим настоящего подпункта; количество анализаторов, подлежащих безвозмездной передаче заказчику поставщиком в случае, предусмотренном абзацем четвертым настоящего подпункта, соответствующее количеству пациентов, для обеспечения которых осуществляется закупка тест-полосок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 исполнение вышеуказанных положений Постановления \10, в данном описании объекта закупки заказчиком установлено требование: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«В случае, если поставщик при подаче заявки на участие в закупке предложил к поставке тест-полоски, соответствующие показателям, указанным в описании объекта закупки,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но являющиеся несовместимыми с анализатором,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указанным в описании объекта закупки, при поставке тест полосок необходимо предусмотреть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безвозмездную передачу глюкометров, совместимых с поставляемыми тест полосками в количестве 22250 глюкометров (анализаторов)».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пояснил, что количество 22 250 глюкометров (анализаторов) определено заказчиком, исходя из среднего количества пациентов скорой медицинской помощи- не менее 7 000 человек, а также количества затрачиваемых тест-полосок — 3-4 штуки на одного пациента. При этом, машины скорой помощи оснащены сумками- укладками в количестве 100-150 шт.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заседании Комиссии Липецкого УФАС России представители заказчика пояснили, что рассматриваемая закупка проводится с учетом положений Постановления \10 для анализаторов ОпеТоисИ Уепо,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которые являются многопользовательскими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Установлено, что все глюкометры (индивидуальные, многопользовательские)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являются изделиями многоразового (многократного) использования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но только при их использовании в соответствии с эксплуатационной документацией. Это означает, что индивидуальный глюкометр может как однократно, так и многократно использоваться у одного и того же пациента медицинским работником, но использовать этот же анализатор у другого пациента запрещено в целях обеспечения безопасности и профилактики инфекций, связанных с оказанием медицинской помощи.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вышеизложенное установлено, что 22 250 глюкометров (анализаторов), подлежащих безвозмездной передаче заказчику поставщиком в случае, если последний при подаче заявки на участие в закупке предложил к поставке тест-полоски, являющиеся несовместимыми с анализатором, указанным в описании объекта закупки, не соответствует предполагаемому заказчиком количеству пациентов -не менее 7000 человек при условии того, что машины скорой помощи заказчика оснащены сумками-укладками общим количеством 100-150 шт. и глюкометры (индивидуальные, многопользовательские) являются изделиями многоразового (многократного) использования.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количество глюкометров (анализаторов) к безвозмездной передаче при поставке тест-полосок не совместимых с анализатором (глюкометром) ОпеТоисИ Уепо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 заказчиком необоснованно, без учета требований пп.б п.1 Постановления ^0 и не носит объективный характер. Доказательств обратного заказчиком на рассмотрение жалобы не представлено.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Комиссия Липецкого УФАС России приходит к выводу, что вышеуказанные действия заказчика нарушают п.1 ч.2 ст.42 Закона о контрактной системе и содержат признаки состава административного правонарушения, предусмотренного ч. 4.1 ст.7.30 Кодекса Российской Федерации об административных правонарушениях.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ст.99, ст.105, ст.106 Закона о контрактной системе, Комиссия Липецкого УФАС России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«РЕГИОНАЛЬНЫЙ РЕАБИЛИТАЦИОННЫЙ ЦЕНТР» на положения извещения о проведении электронного аукциона на поставку реагента (глюкоза ИВД) (реестровый номер 0346200018024000052) 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установлено нарушение п.1 ч.2 ст.42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выявленного нарушения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жалобы должностному лицу Липецкого УФАС России для рассмотрения вопроса о возбуждении административного производства.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вынесения.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4" w:right="532" w:bottom="1208" w:left="109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381000" distL="0" distR="0" simplePos="0" relativeHeight="125829380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342900</wp:posOffset>
                </wp:positionV>
                <wp:extent cx="1771015" cy="2349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710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149999999999999pt;margin-top:27.pt;width:139.45000000000002pt;height:18.5pt;z-index:-125829373;mso-wrap-distance-left:0;mso-wrap-distance-top:27.pt;mso-wrap-distance-right:0;mso-wrap-distance-bottom:30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85445" distB="635" distL="0" distR="1789430" simplePos="0" relativeHeight="125829382" behindDoc="0" locked="0" layoutInCell="1" allowOverlap="1">
            <wp:simplePos x="0" y="0"/>
            <wp:positionH relativeFrom="page">
              <wp:posOffset>2835275</wp:posOffset>
            </wp:positionH>
            <wp:positionV relativeFrom="paragraph">
              <wp:posOffset>385445</wp:posOffset>
            </wp:positionV>
            <wp:extent cx="389890" cy="57277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3331845</wp:posOffset>
                </wp:positionH>
                <wp:positionV relativeFrom="paragraph">
                  <wp:posOffset>824230</wp:posOffset>
                </wp:positionV>
                <wp:extent cx="1280160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2.35000000000002pt;margin-top:64.900000000000006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3286125</wp:posOffset>
                </wp:positionH>
                <wp:positionV relativeFrom="paragraph">
                  <wp:posOffset>513715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8.75pt;margin-top:40.45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381000" distL="0" distR="0" simplePos="0" relativeHeight="125829383" behindDoc="0" locked="0" layoutInCell="1" allowOverlap="1">
                <wp:simplePos x="0" y="0"/>
                <wp:positionH relativeFrom="page">
                  <wp:posOffset>6203315</wp:posOffset>
                </wp:positionH>
                <wp:positionV relativeFrom="paragraph">
                  <wp:posOffset>342900</wp:posOffset>
                </wp:positionV>
                <wp:extent cx="987425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8.44999999999999pt;margin-top:27.pt;width:77.75pt;height:18.5pt;z-index:-125829370;mso-wrap-distance-left:0;mso-wrap-distance-top:27.pt;mso-wrap-distance-right:0;mso-wrap-distance-bottom:30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45720" distB="0" distL="114300" distR="4083050" simplePos="0" relativeHeight="125829385" behindDoc="0" locked="0" layoutInCell="1" allowOverlap="1">
            <wp:simplePos x="0" y="0"/>
            <wp:positionH relativeFrom="page">
              <wp:posOffset>2835275</wp:posOffset>
            </wp:positionH>
            <wp:positionV relativeFrom="paragraph">
              <wp:posOffset>426720</wp:posOffset>
            </wp:positionV>
            <wp:extent cx="389890" cy="572770"/>
            <wp:wrapSquare wrapText="lef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3331845</wp:posOffset>
                </wp:positionH>
                <wp:positionV relativeFrom="paragraph">
                  <wp:posOffset>865505</wp:posOffset>
                </wp:positionV>
                <wp:extent cx="127698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2.35000000000002pt;margin-top:68.150000000000006pt;width:100.5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3286125</wp:posOffset>
                </wp:positionH>
                <wp:positionV relativeFrom="paragraph">
                  <wp:posOffset>551815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8.75pt;margin-top:43.450000000000003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81000" distL="3378835" distR="114300" simplePos="0" relativeHeight="125829386" behindDoc="0" locked="0" layoutInCell="1" allowOverlap="1">
                <wp:simplePos x="0" y="0"/>
                <wp:positionH relativeFrom="page">
                  <wp:posOffset>6099810</wp:posOffset>
                </wp:positionH>
                <wp:positionV relativeFrom="paragraph">
                  <wp:posOffset>381000</wp:posOffset>
                </wp:positionV>
                <wp:extent cx="1090930" cy="23495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0.30000000000001pt;margin-top:30.pt;width:85.900000000000006pt;height:18.5pt;z-index:-125829367;mso-wrap-distance-left:266.05000000000001pt;mso-wrap-distance-right:9.pt;mso-wrap-distance-bottom:30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6294755</wp:posOffset>
                </wp:positionH>
                <wp:positionV relativeFrom="paragraph">
                  <wp:posOffset>1402080</wp:posOffset>
                </wp:positionV>
                <wp:extent cx="895985" cy="191770"/>
                <wp:wrapSquare wrapText="lef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Т.С. Рябкова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95.65000000000003pt;margin-top:110.40000000000001pt;width:70.549999999999997pt;height:15.1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Т.С. Рябкова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0" distB="0" distL="114300" distR="1903730" simplePos="0" relativeHeight="125829390" behindDoc="0" locked="0" layoutInCell="1" allowOverlap="1">
            <wp:simplePos x="0" y="0"/>
            <wp:positionH relativeFrom="page">
              <wp:posOffset>2835275</wp:posOffset>
            </wp:positionH>
            <wp:positionV relativeFrom="paragraph">
              <wp:posOffset>1597025</wp:posOffset>
            </wp:positionV>
            <wp:extent cx="389890" cy="57277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3331845</wp:posOffset>
                </wp:positionH>
                <wp:positionV relativeFrom="paragraph">
                  <wp:posOffset>2032635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2.35000000000002pt;margin-top:160.05000000000001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3286125</wp:posOffset>
                </wp:positionH>
                <wp:positionV relativeFrom="paragraph">
                  <wp:posOffset>1722120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58.75pt;margin-top:135.59999999999999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75ВОО61С51608АВЕ1АА67874Е2Е2О9Г9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03.10.2023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26.12.2024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Комиссии: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610Е27024ВЕВ34А450198В5А4464784Е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18.03.2024 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11.08.2025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6" w:bottom="2902" w:left="11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Рябкова Татьяна Сергеевна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4ЕАС8ВЗА6В794913ВЕ30С1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087С737Е2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19.03.2024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по 12.06.2025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9989820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2024-8190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149999999999999pt;margin-top:786.60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2024-8190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2024-8190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2024-8190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5">
    <w:name w:val="Другое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2">
    <w:name w:val="Основной текст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4">
    <w:name w:val="Другое"/>
    <w:basedOn w:val="Normal"/>
    <w:link w:val="CharStyle2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1">
    <w:name w:val="Основной текст (2)"/>
    <w:basedOn w:val="Normal"/>
    <w:link w:val="CharStyle32"/>
    <w:pPr>
      <w:widowControl w:val="0"/>
      <w:shd w:val="clear" w:color="auto" w:fill="auto"/>
      <w:ind w:left="34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