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color w:val="48629A"/>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color w:val="48629A"/>
          <w:spacing w:val="0"/>
          <w:w w:val="100"/>
          <w:position w:val="0"/>
          <w:sz w:val="16"/>
          <w:szCs w:val="16"/>
          <w:shd w:val="clear" w:color="auto" w:fill="auto"/>
          <w:lang w:val="ru-RU" w:eastAsia="ru-RU" w:bidi="ru-RU"/>
        </w:rPr>
        <w:t>ул. Пушкина, 95, г. Уфа, 450008</w:t>
        <w:br/>
        <w:t>тел. (347) 273-34-05, факс (347) 272-58-82</w:t>
      </w:r>
    </w:p>
    <w:p>
      <w:pPr>
        <w:pStyle w:val="Style5"/>
        <w:keepNext w:val="0"/>
        <w:keepLines w:val="0"/>
        <w:widowControl w:val="0"/>
        <w:shd w:val="clear" w:color="auto" w:fill="auto"/>
        <w:bidi w:val="0"/>
        <w:spacing w:before="0" w:after="420" w:line="269" w:lineRule="auto"/>
        <w:ind w:left="0" w:right="0" w:firstLine="0"/>
        <w:jc w:val="center"/>
        <w:rPr>
          <w:sz w:val="16"/>
          <w:szCs w:val="16"/>
        </w:rPr>
      </w:pPr>
      <w:r>
        <w:rPr>
          <w:color w:val="48629A"/>
          <w:spacing w:val="0"/>
          <w:w w:val="100"/>
          <w:position w:val="0"/>
          <w:sz w:val="16"/>
          <w:szCs w:val="16"/>
          <w:shd w:val="clear" w:color="auto" w:fill="auto"/>
          <w:lang w:val="ru-RU" w:eastAsia="ru-RU" w:bidi="ru-RU"/>
        </w:rPr>
        <w:t>е-тай: 1о02й,Га5.2о\'.ги</w:t>
      </w:r>
    </w:p>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19"/>
          <w:szCs w:val="19"/>
        </w:rPr>
      </w:pPr>
      <w:r>
        <w:rPr>
          <w:color w:val="48629A"/>
          <w:spacing w:val="0"/>
          <w:w w:val="100"/>
          <w:position w:val="0"/>
          <w:sz w:val="19"/>
          <w:szCs w:val="19"/>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48629A"/>
          <w:spacing w:val="0"/>
          <w:w w:val="100"/>
          <w:position w:val="0"/>
          <w:sz w:val="19"/>
          <w:szCs w:val="19"/>
          <w:shd w:val="clear" w:color="auto" w:fill="auto"/>
          <w:lang w:val="ru-RU" w:eastAsia="ru-RU" w:bidi="ru-RU"/>
        </w:rPr>
        <w:t xml:space="preserve">На№  от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Госкомитет РБ по конкурентной политике</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дкт8ег@Ъа8кког1о81ап.ги</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Ильмухаметова Гузель Исламовна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РТ г.Казань,ул.Рахимова,21,а/я</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108,420006</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58" w:bottom="1313" w:left="1140" w:header="0" w:footer="3" w:gutter="0"/>
          <w:pgNumType w:start="1"/>
          <w:cols w:num="2" w:space="720" w:equalWidth="0">
            <w:col w:w="4061" w:space="1205"/>
            <w:col w:w="4637"/>
          </w:cols>
          <w:noEndnote/>
          <w:titlePg/>
          <w:rtlGutter w:val="0"/>
          <w:docGrid w:linePitch="360"/>
        </w:sectPr>
      </w:pPr>
      <w:r>
        <w:rPr>
          <w:color w:val="000000"/>
          <w:spacing w:val="0"/>
          <w:w w:val="100"/>
          <w:position w:val="0"/>
          <w:shd w:val="clear" w:color="auto" w:fill="auto"/>
          <w:lang w:val="ru-RU" w:eastAsia="ru-RU" w:bidi="ru-RU"/>
        </w:rPr>
        <w:t>дихе1.тГо@тай.ги</w:t>
      </w: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99" w:right="0" w:bottom="1298" w:left="0" w:header="0" w:footer="3" w:gutter="0"/>
          <w:cols w:space="720"/>
          <w:noEndnote/>
          <w:rtlGutter w:val="0"/>
          <w:docGrid w:linePitch="360"/>
        </w:sectPr>
      </w:pPr>
    </w:p>
    <w:p>
      <w:pPr>
        <w:pStyle w:val="Style5"/>
        <w:keepNext w:val="0"/>
        <w:keepLines w:val="0"/>
        <w:widowControl w:val="0"/>
        <w:shd w:val="clear" w:color="auto" w:fill="auto"/>
        <w:bidi w:val="0"/>
        <w:spacing w:before="0" w:after="88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ТО002/06/106-1932/2024</w:t>
      </w:r>
    </w:p>
    <w:p>
      <w:pPr>
        <w:pStyle w:val="Style11"/>
        <w:keepNext w:val="0"/>
        <w:keepLines w:val="0"/>
        <w:widowControl w:val="0"/>
        <w:shd w:val="clear" w:color="auto" w:fill="auto"/>
        <w:tabs>
          <w:tab w:pos="723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24 сентября 2024 года</w:t>
        <w:tab/>
        <w:t>г. Уфа, ул. Пушкина, 95</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Председатель Комиссии - начальник отдела контроля закупок Управления Федеральной антимонопольной службы по Республике Башкортостан - Исламгулов С.Ф.;</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главный специалист - эксперт контроля закупок - Ларшутин Р.С.;</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специалист - эксперт отдела контроля закупок - Шайхуллин В.Э.;</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Посредством видеоконференцсвязи:</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Уполномоченное учреждение</w:t>
      </w:r>
      <w:r>
        <w:rPr>
          <w:color w:val="000000"/>
          <w:spacing w:val="0"/>
          <w:w w:val="100"/>
          <w:position w:val="0"/>
          <w:shd w:val="clear" w:color="auto" w:fill="auto"/>
          <w:lang w:val="ru-RU" w:eastAsia="ru-RU" w:bidi="ru-RU"/>
        </w:rPr>
        <w:t>: Государственный комитет Республики Башкортостан по конкурентной политике</w:t>
      </w:r>
    </w:p>
    <w:p>
      <w:pPr>
        <w:pStyle w:val="Style11"/>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Заказчик</w:t>
      </w:r>
      <w:r>
        <w:rPr>
          <w:color w:val="000000"/>
          <w:spacing w:val="0"/>
          <w:w w:val="100"/>
          <w:position w:val="0"/>
          <w:shd w:val="clear" w:color="auto" w:fill="auto"/>
          <w:lang w:val="ru-RU" w:eastAsia="ru-RU" w:bidi="ru-RU"/>
        </w:rPr>
        <w:t>: Государственное бюджетное учреждение здравоохранения Республики Башкортостан Городская клиническая больница № 13 г. Уфа</w:t>
      </w:r>
    </w:p>
    <w:p>
      <w:pPr>
        <w:pStyle w:val="Style11"/>
        <w:keepNext w:val="0"/>
        <w:keepLines w:val="0"/>
        <w:widowControl w:val="0"/>
        <w:numPr>
          <w:ilvl w:val="0"/>
          <w:numId w:val="1"/>
        </w:numPr>
        <w:shd w:val="clear" w:color="auto" w:fill="auto"/>
        <w:tabs>
          <w:tab w:pos="11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1"/>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ИП Ильмухаметова Г.И.</w:t>
      </w:r>
    </w:p>
    <w:p>
      <w:pPr>
        <w:pStyle w:val="Style11"/>
        <w:keepNext w:val="0"/>
        <w:keepLines w:val="0"/>
        <w:widowControl w:val="0"/>
        <w:numPr>
          <w:ilvl w:val="0"/>
          <w:numId w:val="1"/>
        </w:numPr>
        <w:shd w:val="clear" w:color="auto" w:fill="auto"/>
        <w:tabs>
          <w:tab w:pos="1127" w:val="left"/>
        </w:tabs>
        <w:bidi w:val="0"/>
        <w:spacing w:before="0" w:after="280" w:line="240" w:lineRule="auto"/>
        <w:ind w:left="0" w:right="0" w:firstLine="860"/>
        <w:jc w:val="both"/>
      </w:pPr>
      <w:r>
        <w:rPr>
          <w:color w:val="000000"/>
          <w:spacing w:val="0"/>
          <w:w w:val="100"/>
          <w:position w:val="0"/>
          <w:shd w:val="clear" w:color="auto" w:fill="auto"/>
          <w:lang w:val="ru-RU" w:eastAsia="ru-RU" w:bidi="ru-RU"/>
        </w:rPr>
        <w:t>Без участия.</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адрес Управления Федеральной антимонопольной службы по Республике </w:t>
      </w:r>
      <w:r>
        <w:rPr>
          <w:color w:val="000000"/>
          <w:spacing w:val="0"/>
          <w:w w:val="100"/>
          <w:position w:val="0"/>
          <w:shd w:val="clear" w:color="auto" w:fill="auto"/>
          <w:lang w:val="ru-RU" w:eastAsia="ru-RU" w:bidi="ru-RU"/>
        </w:rPr>
        <w:t>Башкортостан поступила жалоба от ИП Ильмухаметова Г.И. (вх. № 15686/24 от 19.09.2024) на действия закупочной комиссии Заказчика при определении поставщика путем проведения закупки № 0101500000324000502 «Закупка шовного материала (Нить хирургическая из натурального шелка, стерильная) на 2024- 2025гг.».</w:t>
      </w:r>
    </w:p>
    <w:p>
      <w:pPr>
        <w:widowControl w:val="0"/>
        <w:spacing w:line="1" w:lineRule="exact"/>
      </w:pPr>
      <w:r>
        <w:drawing>
          <wp:anchor distT="139700" distB="0" distL="0" distR="0" simplePos="0" relativeHeight="125829378" behindDoc="0" locked="0" layoutInCell="1" allowOverlap="1">
            <wp:simplePos x="0" y="0"/>
            <wp:positionH relativeFrom="page">
              <wp:posOffset>714375</wp:posOffset>
            </wp:positionH>
            <wp:positionV relativeFrom="paragraph">
              <wp:posOffset>139700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 мнению Заявителя, комиссией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рассмотрение заявок нарушает нормы действующего законодательства.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подана в соответствии с требованиями Закона о контрактной системе.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о поступлении жалобы в соответствии с ч. 1 ст. 106 Закона о контрактной системе размещена в единой информационной системе.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 0101500000324000502 «Закупка шовного материала (Нить хирургическая из натурального шелка, стерильная) на 2024-2025гг.».</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в жалобе указал, что Заказчик неправомерно отклонил заявку Заявителя.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18.09.2024 №ИЭА1 комиссия указала следующую причину отклонения заявки Заявителя:</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осуществлении закупки (п.1 ч.12 ст.48 44-ФЗ). Причина отклонения. 1. участник закупки в заявке в позициях № 5, 6, 14 указал РУ «№РЗН 20224/22898 от "11" июня 2024 г.», Регистрационное удостоверение с данным номером в Реестре зарегистрированных медицинских изделий отсутствует, что не соответствует требованиям извещения. 2. Пунктом 5.2.1 «Требований к содержанию и составу заявки на участие в совместном электронном аукционе и инструкции по ее заполнению» (п.п. «а», п. 2 ч.1 ст. 43 Закона № 44-ФЗ) установлено, что участник закупки в отношении объекта закупки указывает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Согласно инструкции по заполнению заявки на участие в электронном аукционе все предлагаемые Участником закупки товары должны быть заявлены в полном строгом соответствии с наименованием товара указанным в Регистрационном удостоверении с обязательным указанием точных вариантов исполнения, указанных в приложении к регистрационному удостоверению (при его наличии). Участник закупки в составе </w:t>
      </w:r>
      <w:r>
        <w:rPr>
          <w:color w:val="000000"/>
          <w:spacing w:val="0"/>
          <w:w w:val="100"/>
          <w:position w:val="0"/>
          <w:shd w:val="clear" w:color="auto" w:fill="auto"/>
          <w:lang w:val="ru-RU" w:eastAsia="ru-RU" w:bidi="ru-RU"/>
        </w:rPr>
        <w:t>заявки указал и представил РУ №РЗН 2021/14913 от 28 июля 2021 года на предлагаемый товар, при этом не указал точный вариант исполнения по позициям № 1-4, 7-13, 15-18, что не соответствует требованиям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было установлено, что в аукционе принимало участие 4 заявки.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пп.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2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3 ч. 6 ст. 43 Закона о контрактной системе при проведении электронных процедур, закрытых электронных процедур: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ч. 5 ст. 49 Закона о контрактной системе, 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3"/>
        </w:numPr>
        <w:shd w:val="clear" w:color="auto" w:fill="auto"/>
        <w:tabs>
          <w:tab w:pos="119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5"/>
        </w:numPr>
        <w:shd w:val="clear" w:color="auto" w:fill="auto"/>
        <w:tabs>
          <w:tab w:pos="119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w:t>
      </w:r>
      <w:r>
        <w:rPr>
          <w:color w:val="000000"/>
          <w:spacing w:val="0"/>
          <w:w w:val="100"/>
          <w:position w:val="0"/>
          <w:shd w:val="clear" w:color="auto" w:fill="auto"/>
          <w:lang w:val="ru-RU" w:eastAsia="ru-RU" w:bidi="ru-RU"/>
        </w:rPr>
        <w:t>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5"/>
        </w:numPr>
        <w:shd w:val="clear" w:color="auto" w:fill="auto"/>
        <w:tabs>
          <w:tab w:pos="121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3"/>
        </w:numPr>
        <w:shd w:val="clear" w:color="auto" w:fill="auto"/>
        <w:tabs>
          <w:tab w:pos="121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отразил в жалобе следующее: 1. В позициях 5, 6, 1 4 к поставке был предложен шовный хирургический материал производства ООО «Футберг» РУ РЗН 2024/22898 от "11" июня 2024 г.», ошибочно лишняя цифра указанная в обозначении года ( 20224) не препятствует Заказчику идентифицировать предложенные к поставке товары, так как согласно аукционной документации (пункт 5.2.3) , к заявке было приложено РУ РЗН 2024/22898 от "11" июня 2024 г. , иное РУ на данные позиции отсутствовало.</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Таким образом, действия аукционной комиссии Заказчика в части признания заявки Заявителя несоответствующей по основаниям, указанным в протоколе рассмотрения заявок на участие в электронном аукционе, является не правомерным.»</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Заказчик в возражении указал, что согласно пункту 3 Инструкции по заполнению заявки на участие в электронном аукционе:</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Все предлагаемые Участником закупки товары должны быть заявлены в </w:t>
      </w:r>
      <w:r>
        <w:rPr>
          <w:b/>
          <w:bCs/>
          <w:color w:val="000000"/>
          <w:spacing w:val="0"/>
          <w:w w:val="100"/>
          <w:position w:val="0"/>
          <w:shd w:val="clear" w:color="auto" w:fill="auto"/>
          <w:lang w:val="ru-RU" w:eastAsia="ru-RU" w:bidi="ru-RU"/>
        </w:rPr>
        <w:t xml:space="preserve">полном строгом соответствии с наименованием товара </w:t>
      </w:r>
      <w:r>
        <w:rPr>
          <w:color w:val="000000"/>
          <w:spacing w:val="0"/>
          <w:w w:val="100"/>
          <w:position w:val="0"/>
          <w:shd w:val="clear" w:color="auto" w:fill="auto"/>
          <w:lang w:val="ru-RU" w:eastAsia="ru-RU" w:bidi="ru-RU"/>
        </w:rPr>
        <w:t>указанным в Регистрационном удостоверении с обязательным указанием точных вариантов исполнения, указанных в приложении к регистрационному удостоверению (при его наличии);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Предложение участника в отношении объекта закупки должно содержать конкретные значения характеристик.</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Предложение участника в отношении объекта закупки должно полностью </w:t>
      </w:r>
      <w:r>
        <w:rPr>
          <w:color w:val="000000"/>
          <w:spacing w:val="0"/>
          <w:w w:val="100"/>
          <w:position w:val="0"/>
          <w:shd w:val="clear" w:color="auto" w:fill="auto"/>
          <w:lang w:val="ru-RU" w:eastAsia="ru-RU" w:bidi="ru-RU"/>
        </w:rPr>
        <w:t>соответствовать требованиям к такому объекту, установленным заказчиком в описании объекта закупки.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рассмотрении заявки участника комиссия вправе проверять достоверность предоставленных сведений в отношении предлагаемого к поставке товара, а также его товарного знака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страны происхождения товара.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содержащаяся в заявке на участие в электронном аукционе, не должна допускать двусмысленных толкований (разночтений), должна трактоваться однозначно.</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Ответственность за достоверность сведений о конкретных значениях характеристик товара, товарном знаке (при наличии), наименовании страны происхождения товара, указанных в заявке на участие в аукционе в электронной форме, несет участник закупки.</w:t>
      </w:r>
    </w:p>
    <w:p>
      <w:pPr>
        <w:pStyle w:val="Style11"/>
        <w:keepNext w:val="0"/>
        <w:keepLines w:val="0"/>
        <w:widowControl w:val="0"/>
        <w:shd w:val="clear" w:color="auto" w:fill="auto"/>
        <w:bidi w:val="0"/>
        <w:spacing w:before="0" w:after="460" w:line="240" w:lineRule="auto"/>
        <w:ind w:left="0" w:right="0" w:firstLine="860"/>
        <w:jc w:val="both"/>
      </w:pPr>
      <w:r>
        <w:rPr>
          <w:color w:val="000000"/>
          <w:spacing w:val="0"/>
          <w:w w:val="100"/>
          <w:position w:val="0"/>
          <w:shd w:val="clear" w:color="auto" w:fill="auto"/>
          <w:lang w:val="ru-RU" w:eastAsia="ru-RU" w:bidi="ru-RU"/>
        </w:rPr>
        <w:t>Как было установлено комиссией, РУ № РЗН 20224/22898 от "11" июня 2024 г.» отсутствует в Реестре зарегистрированных медицинских изделий, что подтверждается отсутствием соответствующих позиций при осуществлении поиска на сайте</w:t>
      </w:r>
      <w:r>
        <w:fldChar w:fldCharType="begin"/>
      </w:r>
      <w:r>
        <w:rPr/>
        <w:instrText> HYPERLINK "https://roszdravnadzor.gov.ru/services/misearch"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111Ш://го^/с1гаупас1/о1\до\\П1/^ег\чсе^пшеагс11</w:t>
      </w:r>
      <w:r>
        <w:fldChar w:fldCharType="end"/>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200" w:line="298" w:lineRule="auto"/>
        <w:ind w:left="140" w:right="0" w:firstLine="0"/>
        <w:jc w:val="left"/>
        <w:rPr>
          <w:sz w:val="22"/>
          <w:szCs w:val="22"/>
        </w:rPr>
      </w:pPr>
      <w:r>
        <w:rPr>
          <w:rFonts w:ascii="Arial" w:eastAsia="Arial" w:hAnsi="Arial" w:cs="Arial"/>
          <w:color w:val="636465"/>
          <w:spacing w:val="0"/>
          <w:w w:val="100"/>
          <w:position w:val="0"/>
          <w:sz w:val="22"/>
          <w:szCs w:val="22"/>
          <w:shd w:val="clear" w:color="auto" w:fill="auto"/>
          <w:lang w:val="ru-RU" w:eastAsia="ru-RU" w:bidi="ru-RU"/>
        </w:rPr>
        <w:t>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5"/>
        <w:keepNext w:val="0"/>
        <w:keepLines w:val="0"/>
        <w:widowControl w:val="0"/>
        <w:shd w:val="clear" w:color="auto" w:fill="auto"/>
        <w:bidi w:val="0"/>
        <w:spacing w:before="0" w:after="300" w:line="240" w:lineRule="auto"/>
        <w:ind w:left="0" w:right="0" w:firstLine="280"/>
        <w:jc w:val="both"/>
        <w:rPr>
          <w:sz w:val="18"/>
          <w:szCs w:val="18"/>
        </w:rPr>
      </w:pPr>
      <w:r>
        <w:rPr>
          <w:rFonts w:ascii="Arial" w:eastAsia="Arial" w:hAnsi="Arial" w:cs="Arial"/>
          <w:color w:val="3D3D3D"/>
          <w:spacing w:val="0"/>
          <w:w w:val="100"/>
          <w:position w:val="0"/>
          <w:sz w:val="18"/>
          <w:szCs w:val="18"/>
          <w:shd w:val="clear" w:color="auto" w:fill="auto"/>
          <w:lang w:val="ru-RU" w:eastAsia="ru-RU" w:bidi="ru-RU"/>
        </w:rPr>
        <w:t>РЗН 20224/22898</w:t>
      </w:r>
    </w:p>
    <w:p>
      <w:pPr>
        <w:pStyle w:val="Style5"/>
        <w:keepNext w:val="0"/>
        <w:keepLines w:val="0"/>
        <w:widowControl w:val="0"/>
        <w:shd w:val="clear" w:color="auto" w:fill="auto"/>
        <w:bidi w:val="0"/>
        <w:spacing w:before="0" w:after="1600" w:line="240" w:lineRule="auto"/>
        <w:ind w:left="0" w:right="0" w:firstLine="280"/>
        <w:jc w:val="both"/>
        <w:rPr>
          <w:sz w:val="18"/>
          <w:szCs w:val="18"/>
        </w:rPr>
      </w:pPr>
      <w:r>
        <w:rPr>
          <w:rFonts w:ascii="Arial" w:eastAsia="Arial" w:hAnsi="Arial" w:cs="Arial"/>
          <w:color w:val="B1454A"/>
          <w:spacing w:val="0"/>
          <w:w w:val="100"/>
          <w:position w:val="0"/>
          <w:sz w:val="18"/>
          <w:szCs w:val="18"/>
          <w:u w:val="single"/>
          <w:shd w:val="clear" w:color="auto" w:fill="auto"/>
          <w:lang w:val="ru-RU" w:eastAsia="ru-RU" w:bidi="ru-RU"/>
        </w:rPr>
        <w:t>Расширенный поиск</w:t>
      </w:r>
    </w:p>
    <w:tbl>
      <w:tblPr>
        <w:tblOverlap w:val="never"/>
        <w:jc w:val="center"/>
        <w:tblLayout w:type="fixed"/>
      </w:tblPr>
      <w:tblGrid>
        <w:gridCol w:w="1147"/>
        <w:gridCol w:w="1786"/>
        <w:gridCol w:w="1675"/>
        <w:gridCol w:w="1766"/>
        <w:gridCol w:w="1570"/>
        <w:gridCol w:w="1728"/>
        <w:gridCol w:w="533"/>
      </w:tblGrid>
      <w:tr>
        <w:trPr>
          <w:trHeight w:val="182" w:hRule="exact"/>
        </w:trPr>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CBCBC"/>
                <w:left w:val="single" w:sz="0" w:space="0" w:color="BCBCBC"/>
                <w:bottom w:val="single" w:sz="0" w:space="0" w:color="BCBCBC"/>
                <w:right w:val="single" w:sz="0" w:space="0" w:color="BCBCBC"/>
              </w:pBdr>
              <w:shd w:val="clear" w:color="auto" w:fill="BCBCBC"/>
              <w:bidi w:val="0"/>
              <w:spacing w:before="0" w:after="0" w:line="240" w:lineRule="auto"/>
              <w:ind w:left="0" w:right="0" w:firstLine="34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наименование</w:t>
            </w: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right"/>
              <w:rPr>
                <w:sz w:val="9"/>
                <w:szCs w:val="9"/>
              </w:rPr>
            </w:pPr>
            <w:r>
              <w:rPr>
                <w:rFonts w:ascii="Arial" w:eastAsia="Arial" w:hAnsi="Arial" w:cs="Arial"/>
                <w:b/>
                <w:bCs/>
                <w:color w:val="FFFFFF"/>
                <w:spacing w:val="0"/>
                <w:w w:val="100"/>
                <w:position w:val="0"/>
                <w:sz w:val="9"/>
                <w:szCs w:val="9"/>
                <w:shd w:val="clear" w:color="auto" w:fill="auto"/>
                <w:lang w:val="ru-RU" w:eastAsia="ru-RU" w:bidi="ru-RU"/>
              </w:rPr>
              <w:t>Н|</w:t>
            </w:r>
          </w:p>
        </w:tc>
      </w:tr>
      <w:tr>
        <w:trPr>
          <w:trHeight w:val="264" w:hRule="exact"/>
        </w:trPr>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Уникальный</w:t>
            </w: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Регистрационный</w:t>
            </w: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Дата</w:t>
            </w:r>
          </w:p>
        </w:tc>
        <w:tc>
          <w:tcPr>
            <w:vMerge w:val="restart"/>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Срок действия</w:t>
            </w:r>
          </w:p>
        </w:tc>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CBCBC"/>
                <w:left w:val="single" w:sz="0" w:space="0" w:color="BCBCBC"/>
                <w:bottom w:val="single" w:sz="0" w:space="0" w:color="BCBCBC"/>
                <w:right w:val="single" w:sz="0" w:space="0" w:color="BCBCBC"/>
              </w:pBdr>
              <w:shd w:val="clear" w:color="auto" w:fill="BCBCBC"/>
              <w:bidi w:val="0"/>
              <w:spacing w:before="0" w:after="0" w:line="240" w:lineRule="auto"/>
              <w:ind w:left="0" w:right="0" w:firstLine="34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организации -</w:t>
            </w:r>
          </w:p>
        </w:tc>
        <w:tc>
          <w:tcPr>
            <w:tcBorders/>
            <w:shd w:val="clear" w:color="auto" w:fill="BDBDBD"/>
            <w:vAlign w:val="bottom"/>
          </w:tcPr>
          <w:p>
            <w:pPr>
              <w:pStyle w:val="Style5"/>
              <w:keepNext w:val="0"/>
              <w:keepLines w:val="0"/>
              <w:widowControl w:val="0"/>
              <w:pBdr>
                <w:top w:val="single" w:sz="0" w:space="0" w:color="BDBCBC"/>
                <w:left w:val="single" w:sz="0" w:space="0" w:color="BDBCBC"/>
                <w:bottom w:val="single" w:sz="0" w:space="0" w:color="BDBCBC"/>
                <w:right w:val="single" w:sz="0" w:space="0" w:color="BDBCBC"/>
              </w:pBdr>
              <w:shd w:val="clear" w:color="auto" w:fill="BDBCBC"/>
              <w:bidi w:val="0"/>
              <w:spacing w:before="0" w:after="0" w:line="240" w:lineRule="auto"/>
              <w:ind w:left="0" w:right="0" w:firstLine="32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ор</w:t>
            </w:r>
          </w:p>
        </w:tc>
      </w:tr>
      <w:tr>
        <w:trPr>
          <w:trHeight w:val="130" w:hRule="exact"/>
        </w:trPr>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CBCBC"/>
                <w:left w:val="single" w:sz="0" w:space="0" w:color="BCBCBC"/>
                <w:bottom w:val="single" w:sz="0" w:space="0" w:color="BCBCBC"/>
                <w:right w:val="single" w:sz="0" w:space="0" w:color="BCBCBC"/>
              </w:pBdr>
              <w:shd w:val="clear" w:color="auto" w:fill="BCBCBC"/>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государственной</w:t>
            </w:r>
          </w:p>
        </w:tc>
        <w:tc>
          <w:tcPr>
            <w:vMerge/>
            <w:tcBorders/>
            <w:shd w:val="clear" w:color="auto" w:fill="BDBDBD"/>
            <w:vAlign w:val="bottom"/>
          </w:tcPr>
          <w:p>
            <w:pPr/>
          </w:p>
        </w:tc>
        <w:tc>
          <w:tcPr>
            <w:tcBorders/>
            <w:shd w:val="clear" w:color="auto" w:fill="BDBDBD"/>
            <w:vAlign w:val="top"/>
          </w:tcPr>
          <w:p>
            <w:pPr>
              <w:pStyle w:val="Style5"/>
              <w:keepNext w:val="0"/>
              <w:keepLines w:val="0"/>
              <w:widowControl w:val="0"/>
              <w:pBdr>
                <w:top w:val="single" w:sz="0" w:space="0" w:color="BCBCBD"/>
                <w:left w:val="single" w:sz="0" w:space="0" w:color="BCBCBD"/>
                <w:bottom w:val="single" w:sz="0" w:space="0" w:color="BCBCBD"/>
                <w:right w:val="single" w:sz="0" w:space="0" w:color="BCBCBD"/>
              </w:pBdr>
              <w:shd w:val="clear" w:color="auto" w:fill="BCBC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Наименование</w:t>
            </w:r>
          </w:p>
        </w:tc>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CBCBD"/>
                <w:left w:val="single" w:sz="0" w:space="0" w:color="BCBCBD"/>
                <w:bottom w:val="single" w:sz="0" w:space="0" w:color="BCBCBD"/>
                <w:right w:val="single" w:sz="0" w:space="0" w:color="BCBCBD"/>
              </w:pBdr>
              <w:shd w:val="clear" w:color="auto" w:fill="BCBC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упо/</w:t>
            </w:r>
          </w:p>
        </w:tc>
      </w:tr>
      <w:tr>
        <w:trPr>
          <w:trHeight w:val="235" w:hRule="exact"/>
        </w:trPr>
        <w:tc>
          <w:tcPr>
            <w:tcBorders/>
            <w:shd w:val="clear" w:color="auto" w:fill="BDBDBD"/>
            <w:vAlign w:val="top"/>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338"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НОМСр реестровой</w:t>
            </w: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медицинского</w:t>
            </w:r>
          </w:p>
        </w:tc>
        <w:tc>
          <w:tcPr>
            <w:tcBorders/>
            <w:shd w:val="clear" w:color="auto" w:fill="BDBDBD"/>
            <w:vAlign w:val="center"/>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регистрации</w:t>
            </w:r>
          </w:p>
        </w:tc>
        <w:tc>
          <w:tcPr>
            <w:tcBorders/>
            <w:shd w:val="clear" w:color="auto" w:fill="BDBDBD"/>
            <w:vAlign w:val="center"/>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регистрационного</w:t>
            </w:r>
          </w:p>
        </w:tc>
        <w:tc>
          <w:tcPr>
            <w:tcBorders/>
            <w:shd w:val="clear" w:color="auto" w:fill="BDBDBD"/>
            <w:vAlign w:val="center"/>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медицинского</w:t>
            </w:r>
          </w:p>
        </w:tc>
        <w:tc>
          <w:tcPr>
            <w:tcBorders>
              <w:top w:val="single" w:sz="4"/>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right"/>
              <w:rPr>
                <w:sz w:val="11"/>
                <w:szCs w:val="11"/>
              </w:rPr>
            </w:pPr>
            <w:r>
              <w:rPr>
                <w:rFonts w:ascii="Arial" w:eastAsia="Arial" w:hAnsi="Arial" w:cs="Arial"/>
                <w:b/>
                <w:bCs/>
                <w:color w:val="FFFFFF"/>
                <w:spacing w:val="0"/>
                <w:w w:val="100"/>
                <w:position w:val="0"/>
                <w:sz w:val="11"/>
                <w:szCs w:val="11"/>
                <w:shd w:val="clear" w:color="auto" w:fill="auto"/>
                <w:lang w:val="ru-RU" w:eastAsia="ru-RU" w:bidi="ru-RU"/>
              </w:rPr>
              <w:t xml:space="preserve">производителя </w:t>
            </w:r>
            <w:r>
              <w:rPr>
                <w:rFonts w:ascii="Arial" w:eastAsia="Arial" w:hAnsi="Arial" w:cs="Arial"/>
                <w:b/>
                <w:bCs/>
                <w:color w:val="D4D4D4"/>
                <w:spacing w:val="0"/>
                <w:w w:val="100"/>
                <w:position w:val="0"/>
                <w:sz w:val="11"/>
                <w:szCs w:val="11"/>
                <w:shd w:val="clear" w:color="auto" w:fill="auto"/>
                <w:lang w:val="ru-RU" w:eastAsia="ru-RU" w:bidi="ru-RU"/>
              </w:rPr>
              <w:t>V</w:t>
            </w:r>
          </w:p>
        </w:tc>
        <w:tc>
          <w:tcPr>
            <w:tcBorders/>
            <w:shd w:val="clear" w:color="auto" w:fill="BDBDBD"/>
            <w:vAlign w:val="center"/>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пр.</w:t>
            </w:r>
          </w:p>
        </w:tc>
      </w:tr>
      <w:tr>
        <w:trPr>
          <w:trHeight w:val="125" w:hRule="exact"/>
        </w:trPr>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18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записи</w:t>
            </w: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1Л1ЛРПИО</w:t>
            </w:r>
          </w:p>
        </w:tc>
        <w:tc>
          <w:tcPr>
            <w:tcBorders/>
            <w:shd w:val="clear" w:color="auto" w:fill="BDBDBD"/>
            <w:vAlign w:val="top"/>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медицинского</w:t>
            </w:r>
          </w:p>
        </w:tc>
        <w:tc>
          <w:tcPr>
            <w:tcBorders/>
            <w:shd w:val="clear" w:color="auto" w:fill="BDBDBD"/>
            <w:vAlign w:val="top"/>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удостоверения</w:t>
            </w:r>
          </w:p>
        </w:tc>
        <w:tc>
          <w:tcPr>
            <w:tcBorders/>
            <w:shd w:val="clear" w:color="auto" w:fill="BDBDBD"/>
            <w:vAlign w:val="top"/>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изделия</w:t>
            </w:r>
          </w:p>
        </w:tc>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пр&lt;</w:t>
            </w:r>
          </w:p>
        </w:tc>
      </w:tr>
      <w:tr>
        <w:trPr>
          <w:trHeight w:val="144" w:hRule="exact"/>
        </w:trPr>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1 К1/1</w:t>
            </w: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изделия</w:t>
            </w: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top w:val="single" w:sz="4"/>
            </w:tcBorders>
            <w:shd w:val="clear" w:color="auto" w:fill="BDBDBD"/>
            <w:vAlign w:val="top"/>
          </w:tcPr>
          <w:p>
            <w:pPr>
              <w:widowControl w:val="0"/>
              <w:rPr>
                <w:sz w:val="10"/>
                <w:szCs w:val="10"/>
              </w:rPr>
            </w:pP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0"/>
              <w:jc w:val="center"/>
              <w:rPr>
                <w:sz w:val="11"/>
                <w:szCs w:val="11"/>
              </w:rPr>
            </w:pPr>
            <w:r>
              <w:rPr>
                <w:rFonts w:ascii="Arial" w:eastAsia="Arial" w:hAnsi="Arial" w:cs="Arial"/>
                <w:b/>
                <w:bCs/>
                <w:color w:val="FFFFFF"/>
                <w:spacing w:val="0"/>
                <w:w w:val="100"/>
                <w:position w:val="0"/>
                <w:sz w:val="11"/>
                <w:szCs w:val="11"/>
                <w:shd w:val="clear" w:color="auto" w:fill="auto"/>
                <w:lang w:val="ru-RU" w:eastAsia="ru-RU" w:bidi="ru-RU"/>
              </w:rPr>
              <w:t>(из</w:t>
            </w:r>
          </w:p>
        </w:tc>
      </w:tr>
      <w:tr>
        <w:trPr>
          <w:trHeight w:val="130" w:hRule="exact"/>
        </w:trPr>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pStyle w:val="Style5"/>
              <w:keepNext w:val="0"/>
              <w:keepLines w:val="0"/>
              <w:widowControl w:val="0"/>
              <w:pBdr>
                <w:top w:val="single" w:sz="0" w:space="0" w:color="BCBCBC"/>
                <w:left w:val="single" w:sz="0" w:space="0" w:color="BCBCBC"/>
                <w:bottom w:val="single" w:sz="0" w:space="0" w:color="BCBCBC"/>
                <w:right w:val="single" w:sz="0" w:space="0" w:color="BCBCBC"/>
              </w:pBdr>
              <w:shd w:val="clear" w:color="auto" w:fill="BCBCBC"/>
              <w:bidi w:val="0"/>
              <w:spacing w:before="0" w:after="0" w:line="240" w:lineRule="auto"/>
              <w:ind w:left="0" w:right="0" w:firstLine="34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медицинского</w:t>
            </w:r>
          </w:p>
        </w:tc>
        <w:tc>
          <w:tcPr>
            <w:tcBorders/>
            <w:shd w:val="clear" w:color="auto" w:fill="BDBDBD"/>
            <w:vAlign w:val="top"/>
          </w:tcPr>
          <w:p>
            <w:pPr>
              <w:widowControl w:val="0"/>
              <w:rPr>
                <w:sz w:val="10"/>
                <w:szCs w:val="10"/>
              </w:rPr>
            </w:pPr>
          </w:p>
        </w:tc>
      </w:tr>
      <w:tr>
        <w:trPr>
          <w:trHeight w:val="173" w:hRule="exact"/>
        </w:trPr>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top"/>
          </w:tcPr>
          <w:p>
            <w:pPr>
              <w:widowControl w:val="0"/>
              <w:rPr>
                <w:sz w:val="10"/>
                <w:szCs w:val="10"/>
              </w:rPr>
            </w:pPr>
          </w:p>
        </w:tc>
        <w:tc>
          <w:tcPr>
            <w:tcBorders/>
            <w:shd w:val="clear" w:color="auto" w:fill="BDBDBD"/>
            <w:vAlign w:val="bottom"/>
          </w:tcPr>
          <w:p>
            <w:pPr>
              <w:pStyle w:val="Style5"/>
              <w:keepNext w:val="0"/>
              <w:keepLines w:val="0"/>
              <w:widowControl w:val="0"/>
              <w:pBdr>
                <w:top w:val="single" w:sz="0" w:space="0" w:color="BDBDBD"/>
                <w:left w:val="single" w:sz="0" w:space="0" w:color="BDBDBD"/>
                <w:bottom w:val="single" w:sz="0" w:space="0" w:color="BDBDBD"/>
                <w:right w:val="single" w:sz="0" w:space="0" w:color="BDBDBD"/>
              </w:pBdr>
              <w:shd w:val="clear" w:color="auto" w:fill="BDBDBD"/>
              <w:bidi w:val="0"/>
              <w:spacing w:before="0" w:after="0" w:line="240" w:lineRule="auto"/>
              <w:ind w:left="0" w:right="0" w:firstLine="54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изделия</w:t>
            </w:r>
          </w:p>
        </w:tc>
        <w:tc>
          <w:tcPr>
            <w:tcBorders/>
            <w:shd w:val="clear" w:color="auto" w:fill="BDBDBD"/>
            <w:vAlign w:val="top"/>
          </w:tcPr>
          <w:p>
            <w:pPr>
              <w:widowControl w:val="0"/>
              <w:rPr>
                <w:sz w:val="10"/>
                <w:szCs w:val="10"/>
              </w:rPr>
            </w:pPr>
          </w:p>
        </w:tc>
      </w:tr>
    </w:tbl>
    <w:p>
      <w:pPr>
        <w:widowControl w:val="0"/>
        <w:spacing w:after="959" w:line="1" w:lineRule="exact"/>
      </w:pPr>
    </w:p>
    <w:p>
      <w:pPr>
        <w:pStyle w:val="Style5"/>
        <w:keepNext w:val="0"/>
        <w:keepLines w:val="0"/>
        <w:widowControl w:val="0"/>
        <w:shd w:val="clear" w:color="auto" w:fill="auto"/>
        <w:bidi w:val="0"/>
        <w:spacing w:before="0" w:after="300" w:line="240" w:lineRule="auto"/>
        <w:ind w:left="0" w:right="0" w:firstLine="0"/>
        <w:jc w:val="both"/>
        <w:rPr>
          <w:sz w:val="15"/>
          <w:szCs w:val="15"/>
        </w:rPr>
      </w:pPr>
      <w:r>
        <w:rPr>
          <w:rFonts w:ascii="Arial" w:eastAsia="Arial" w:hAnsi="Arial" w:cs="Arial"/>
          <w:color w:val="636465"/>
          <w:spacing w:val="0"/>
          <w:w w:val="100"/>
          <w:position w:val="0"/>
          <w:sz w:val="15"/>
          <w:szCs w:val="15"/>
          <w:shd w:val="clear" w:color="auto" w:fill="auto"/>
          <w:lang w:val="ru-RU" w:eastAsia="ru-RU" w:bidi="ru-RU"/>
        </w:rPr>
        <w:t>э заданным параметрам сведений не найдено. Попробуйте изменить параметры поиска.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Изучив содержание жалобы, комиссией не установлено доказательств того, что закупочная комиссия необоснованно отклонила заявку ИП Ильмухаметовой Г.И.</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Представитель Заявитель отсутствовал на заседании комиссии, равно как и не было направлено информации и документов, подтверждающих неправомерность</w:t>
        <w:br w:type="page"/>
      </w:r>
      <w:r>
        <w:rPr>
          <w:color w:val="000000"/>
          <w:spacing w:val="0"/>
          <w:w w:val="100"/>
          <w:position w:val="0"/>
          <w:shd w:val="clear" w:color="auto" w:fill="auto"/>
          <w:lang w:val="ru-RU" w:eastAsia="ru-RU" w:bidi="ru-RU"/>
        </w:rPr>
        <w:t>действий Заказчика.</w:t>
      </w:r>
    </w:p>
    <w:p>
      <w:pPr>
        <w:pStyle w:val="Style11"/>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установлено, что </w:t>
      </w:r>
      <w:r>
        <w:rPr>
          <w:color w:val="010101"/>
          <w:spacing w:val="0"/>
          <w:w w:val="100"/>
          <w:position w:val="0"/>
          <w:shd w:val="clear" w:color="auto" w:fill="auto"/>
          <w:lang w:val="ru-RU" w:eastAsia="ru-RU" w:bidi="ru-RU"/>
        </w:rPr>
        <w:t>комиссия Заказчика правомерно отклонила заявку Заявителя.</w:t>
      </w:r>
    </w:p>
    <w:p>
      <w:pPr>
        <w:pStyle w:val="Style11"/>
        <w:keepNext w:val="0"/>
        <w:keepLines w:val="0"/>
        <w:widowControl w:val="0"/>
        <w:shd w:val="clear" w:color="auto" w:fill="auto"/>
        <w:bidi w:val="0"/>
        <w:spacing w:before="0" w:after="0" w:line="240" w:lineRule="auto"/>
        <w:ind w:left="0" w:right="0" w:firstLine="860"/>
        <w:jc w:val="both"/>
      </w:pPr>
      <w:r>
        <w:rPr>
          <w:color w:val="010101"/>
          <w:spacing w:val="0"/>
          <w:w w:val="100"/>
          <w:position w:val="0"/>
          <w:shd w:val="clear" w:color="auto" w:fill="auto"/>
          <w:lang w:val="ru-RU" w:eastAsia="ru-RU" w:bidi="ru-RU"/>
        </w:rPr>
        <w:t>Жалоба признается необоснованной.</w:t>
      </w:r>
    </w:p>
    <w:p>
      <w:pPr>
        <w:pStyle w:val="Style11"/>
        <w:keepNext w:val="0"/>
        <w:keepLines w:val="0"/>
        <w:widowControl w:val="0"/>
        <w:shd w:val="clear" w:color="auto" w:fill="auto"/>
        <w:bidi w:val="0"/>
        <w:spacing w:before="0" w:after="280" w:line="240" w:lineRule="auto"/>
        <w:ind w:left="0" w:right="0" w:firstLine="860"/>
        <w:jc w:val="both"/>
      </w:pPr>
      <w:r>
        <w:rPr>
          <w:color w:val="010101"/>
          <w:spacing w:val="0"/>
          <w:w w:val="100"/>
          <w:position w:val="0"/>
          <w:shd w:val="clear" w:color="auto" w:fill="auto"/>
          <w:lang w:val="ru-RU" w:eastAsia="ru-RU" w:bidi="ru-RU"/>
        </w:rPr>
        <w:t>На основании вышеизложенного и руководствуясь ст.99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1"/>
        <w:keepNext w:val="0"/>
        <w:keepLines w:val="0"/>
        <w:widowControl w:val="0"/>
        <w:shd w:val="clear" w:color="auto" w:fill="auto"/>
        <w:bidi w:val="0"/>
        <w:spacing w:before="0" w:after="280" w:line="240" w:lineRule="auto"/>
        <w:ind w:left="0" w:right="0" w:firstLine="0"/>
        <w:jc w:val="center"/>
      </w:pPr>
      <w:r>
        <w:rPr>
          <w:b/>
          <w:bCs/>
          <w:color w:val="010101"/>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80" w:line="240" w:lineRule="auto"/>
        <w:ind w:left="0" w:right="0" w:firstLine="860"/>
        <w:jc w:val="both"/>
      </w:pPr>
      <w:r>
        <w:rPr>
          <w:color w:val="010101"/>
          <w:spacing w:val="0"/>
          <w:w w:val="100"/>
          <w:position w:val="0"/>
          <w:shd w:val="clear" w:color="auto" w:fill="auto"/>
          <w:lang w:val="ru-RU" w:eastAsia="ru-RU" w:bidi="ru-RU"/>
        </w:rPr>
        <w:t>Признать жалобу ИП Ильмухаметовой Г.И. необоснованной.</w:t>
      </w:r>
    </w:p>
    <w:p>
      <w:pPr>
        <w:pStyle w:val="Style11"/>
        <w:keepNext w:val="0"/>
        <w:keepLines w:val="0"/>
        <w:widowControl w:val="0"/>
        <w:shd w:val="clear" w:color="auto" w:fill="auto"/>
        <w:bidi w:val="0"/>
        <w:spacing w:before="0" w:after="340" w:line="240" w:lineRule="auto"/>
        <w:ind w:left="0" w:right="0" w:firstLine="860"/>
        <w:jc w:val="both"/>
      </w:pPr>
      <w:r>
        <w:rPr>
          <w:color w:val="010101"/>
          <w:spacing w:val="0"/>
          <w:w w:val="100"/>
          <w:position w:val="0"/>
          <w:shd w:val="clear" w:color="auto" w:fill="auto"/>
          <w:lang w:val="ru-RU" w:eastAsia="ru-RU" w:bidi="ru-RU"/>
        </w:rPr>
        <w:t xml:space="preserve">Решение может быть обжаловано в течение трех месяцев со дня его </w:t>
      </w:r>
      <w:r>
        <w:rPr>
          <w:color w:val="010101"/>
          <w:spacing w:val="0"/>
          <w:w w:val="100"/>
          <w:position w:val="0"/>
          <w:shd w:val="clear" w:color="auto" w:fill="auto"/>
          <w:lang w:val="ru-RU" w:eastAsia="ru-RU" w:bidi="ru-RU"/>
        </w:rPr>
        <w:t>принятия.</w:t>
      </w:r>
    </w:p>
    <w:p>
      <w:pPr>
        <w:pStyle w:val="Style11"/>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9" behindDoc="0" locked="0" layoutInCell="1" allowOverlap="1">
                <wp:simplePos x="0" y="0"/>
                <wp:positionH relativeFrom="page">
                  <wp:posOffset>701675</wp:posOffset>
                </wp:positionH>
                <wp:positionV relativeFrom="paragraph">
                  <wp:posOffset>12700</wp:posOffset>
                </wp:positionV>
                <wp:extent cx="1859280" cy="631190"/>
                <wp:wrapSquare wrapText="bothSides"/>
                <wp:docPr id="8" name="Shape 8"/>
                <a:graphic xmlns:a="http://schemas.openxmlformats.org/drawingml/2006/main">
                  <a:graphicData uri="http://schemas.microsoft.com/office/word/2010/wordprocessingShape">
                    <wps:wsp>
                      <wps:cNvSpPr txBox="1"/>
                      <wps:spPr>
                        <a:xfrm>
                          <a:ext cx="1859280" cy="631190"/>
                        </a:xfrm>
                        <a:prstGeom prst="rect"/>
                        <a:noFill/>
                      </wps:spPr>
                      <wps:txbx>
                        <w:txbxContent>
                          <w:p>
                            <w:pPr>
                              <w:pStyle w:val="Style11"/>
                              <w:keepNext w:val="0"/>
                              <w:keepLines w:val="0"/>
                              <w:widowControl w:val="0"/>
                              <w:shd w:val="clear" w:color="auto" w:fill="auto"/>
                              <w:bidi w:val="0"/>
                              <w:spacing w:before="0" w:after="240" w:line="240" w:lineRule="auto"/>
                              <w:ind w:left="0" w:right="0" w:firstLine="0"/>
                              <w:jc w:val="left"/>
                            </w:pPr>
                            <w:r>
                              <w:rPr>
                                <w:color w:val="010101"/>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0" w:line="240" w:lineRule="auto"/>
                              <w:ind w:left="0" w:right="0" w:firstLine="0"/>
                              <w:jc w:val="left"/>
                            </w:pPr>
                            <w:r>
                              <w:rPr>
                                <w:color w:val="010101"/>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4" type="#_x0000_t202" style="position:absolute;margin-left:55.25pt;margin-top:1.pt;width:146.40000000000001pt;height:49.700000000000003pt;z-index:-125829374;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240" w:line="240" w:lineRule="auto"/>
                        <w:ind w:left="0" w:right="0" w:firstLine="0"/>
                        <w:jc w:val="left"/>
                      </w:pPr>
                      <w:r>
                        <w:rPr>
                          <w:color w:val="010101"/>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0" w:line="240" w:lineRule="auto"/>
                        <w:ind w:left="0" w:right="0" w:firstLine="0"/>
                        <w:jc w:val="left"/>
                      </w:pPr>
                      <w:r>
                        <w:rPr>
                          <w:color w:val="010101"/>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10101"/>
          <w:spacing w:val="0"/>
          <w:w w:val="100"/>
          <w:position w:val="0"/>
          <w:shd w:val="clear" w:color="auto" w:fill="auto"/>
          <w:lang w:val="ru-RU" w:eastAsia="ru-RU" w:bidi="ru-RU"/>
        </w:rPr>
        <w:t>Исламгулов С.Ф.</w:t>
      </w:r>
    </w:p>
    <w:p>
      <w:pPr>
        <w:pStyle w:val="Style11"/>
        <w:keepNext w:val="0"/>
        <w:keepLines w:val="0"/>
        <w:widowControl w:val="0"/>
        <w:shd w:val="clear" w:color="auto" w:fill="auto"/>
        <w:bidi w:val="0"/>
        <w:spacing w:before="0" w:after="280" w:line="240" w:lineRule="auto"/>
        <w:ind w:left="0" w:right="0" w:firstLine="0"/>
        <w:jc w:val="right"/>
      </w:pPr>
      <w:r>
        <w:rPr>
          <w:color w:val="010101"/>
          <w:spacing w:val="0"/>
          <w:w w:val="100"/>
          <w:position w:val="0"/>
          <w:shd w:val="clear" w:color="auto" w:fill="auto"/>
          <w:lang w:val="ru-RU" w:eastAsia="ru-RU" w:bidi="ru-RU"/>
        </w:rPr>
        <w:t>Ларшутин Р.С.</w:t>
      </w:r>
    </w:p>
    <w:p>
      <w:pPr>
        <w:pStyle w:val="Style11"/>
        <w:keepNext w:val="0"/>
        <w:keepLines w:val="0"/>
        <w:widowControl w:val="0"/>
        <w:shd w:val="clear" w:color="auto" w:fill="auto"/>
        <w:bidi w:val="0"/>
        <w:spacing w:before="0" w:after="340" w:line="240" w:lineRule="auto"/>
        <w:ind w:left="0" w:right="0" w:firstLine="0"/>
        <w:jc w:val="right"/>
      </w:pPr>
      <w:r>
        <w:rPr>
          <w:color w:val="010101"/>
          <w:spacing w:val="0"/>
          <w:w w:val="100"/>
          <w:position w:val="0"/>
          <w:shd w:val="clear" w:color="auto" w:fill="auto"/>
          <w:lang w:val="ru-RU" w:eastAsia="ru-RU" w:bidi="ru-RU"/>
        </w:rPr>
        <w:t>Шайхуллин В.Э.</w:t>
      </w:r>
    </w:p>
    <w:p>
      <w:pPr>
        <w:pStyle w:val="Style11"/>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1" behindDoc="0" locked="0" layoutInCell="1" allowOverlap="1">
                <wp:simplePos x="0" y="0"/>
                <wp:positionH relativeFrom="page">
                  <wp:posOffset>5861685</wp:posOffset>
                </wp:positionH>
                <wp:positionV relativeFrom="paragraph">
                  <wp:posOffset>12700</wp:posOffset>
                </wp:positionV>
                <wp:extent cx="1319530" cy="250190"/>
                <wp:wrapSquare wrapText="left"/>
                <wp:docPr id="10" name="Shape 10"/>
                <a:graphic xmlns:a="http://schemas.openxmlformats.org/drawingml/2006/main">
                  <a:graphicData uri="http://schemas.microsoft.com/office/word/2010/wordprocessingShape">
                    <wps:wsp>
                      <wps:cNvSpPr txBox="1"/>
                      <wps:spPr>
                        <a:xfrm>
                          <a:ext cx="131953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С.Ф. Исламгулов</w:t>
                            </w:r>
                          </w:p>
                        </w:txbxContent>
                      </wps:txbx>
                      <wps:bodyPr wrap="none" lIns="0" tIns="0" rIns="0" bIns="0">
                        <a:noAutoFit/>
                      </wps:bodyPr>
                    </wps:wsp>
                  </a:graphicData>
                </a:graphic>
              </wp:anchor>
            </w:drawing>
          </mc:Choice>
          <mc:Fallback>
            <w:pict>
              <v:shape id="_x0000_s1036" type="#_x0000_t202" style="position:absolute;margin-left:461.55000000000001pt;margin-top:1.pt;width:103.90000000000001pt;height:19.699999999999999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С.Ф. Исламгулов</w:t>
                      </w:r>
                    </w:p>
                  </w:txbxContent>
                </v:textbox>
                <w10:wrap type="square" side="left" anchorx="page"/>
              </v:shape>
            </w:pict>
          </mc:Fallback>
        </mc:AlternateContent>
      </w:r>
      <w:r>
        <w:rPr>
          <w:color w:val="000000"/>
          <w:spacing w:val="0"/>
          <w:w w:val="100"/>
          <w:position w:val="0"/>
          <w:shd w:val="clear" w:color="auto" w:fill="auto"/>
          <w:lang w:val="ru-RU" w:eastAsia="ru-RU" w:bidi="ru-RU"/>
        </w:rPr>
        <w:t>Начальник отдела</w:t>
      </w:r>
    </w:p>
    <w:p>
      <w:pPr>
        <w:widowControl w:val="0"/>
        <w:spacing w:line="1" w:lineRule="exact"/>
      </w:pPr>
      <w:r>
        <w:drawing>
          <wp:anchor distT="546100" distB="0" distL="0" distR="1993265" simplePos="0" relativeHeight="125829383" behindDoc="0" locked="0" layoutInCell="1" allowOverlap="1">
            <wp:simplePos x="0" y="0"/>
            <wp:positionH relativeFrom="page">
              <wp:posOffset>2515235</wp:posOffset>
            </wp:positionH>
            <wp:positionV relativeFrom="paragraph">
              <wp:posOffset>546100</wp:posOffset>
            </wp:positionV>
            <wp:extent cx="408305" cy="44513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408305" cy="4451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2996565</wp:posOffset>
                </wp:positionH>
                <wp:positionV relativeFrom="paragraph">
                  <wp:posOffset>649605</wp:posOffset>
                </wp:positionV>
                <wp:extent cx="1917065" cy="280670"/>
                <wp:wrapNone/>
                <wp:docPr id="14" name="Shape 14"/>
                <a:graphic xmlns:a="http://schemas.openxmlformats.org/drawingml/2006/main">
                  <a:graphicData uri="http://schemas.microsoft.com/office/word/2010/wordprocessingShape">
                    <wps:wsp>
                      <wps:cNvSpPr txBox="1"/>
                      <wps:spPr>
                        <a:xfrm>
                          <a:ext cx="1917065" cy="280670"/>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35.95000000000002pt;margin-top:51.149999999999999pt;width:150.95000000000002pt;height:22.100000000000001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pStyle w:val="Style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3"/>
          <w:szCs w:val="13"/>
        </w:rPr>
      </w:pPr>
      <w:r>
        <w:rPr>
          <w:rFonts w:ascii="Georgia" w:eastAsia="Georgia" w:hAnsi="Georgia" w:cs="Georgia"/>
          <w:color w:val="EAEAEA"/>
          <w:spacing w:val="0"/>
          <w:w w:val="100"/>
          <w:position w:val="0"/>
          <w:sz w:val="13"/>
          <w:szCs w:val="13"/>
          <w:shd w:val="clear" w:color="auto" w:fill="auto"/>
          <w:lang w:val="ru-RU" w:eastAsia="ru-RU" w:bidi="ru-RU"/>
        </w:rPr>
        <w:t xml:space="preserve">СВЕДЕНИЯ </w:t>
      </w:r>
      <w:r>
        <w:rPr>
          <w:rFonts w:ascii="Georgia" w:eastAsia="Georgia" w:hAnsi="Georgia" w:cs="Georgia"/>
          <w:color w:val="FFFFFF"/>
          <w:spacing w:val="0"/>
          <w:w w:val="100"/>
          <w:position w:val="0"/>
          <w:sz w:val="13"/>
          <w:szCs w:val="13"/>
          <w:shd w:val="clear" w:color="auto" w:fill="auto"/>
          <w:lang w:val="ru-RU" w:eastAsia="ru-RU" w:bidi="ru-RU"/>
        </w:rPr>
        <w:t xml:space="preserve">О </w:t>
      </w:r>
      <w:r>
        <w:rPr>
          <w:rFonts w:ascii="Georgia" w:eastAsia="Georgia" w:hAnsi="Georgia" w:cs="Georgia"/>
          <w:color w:val="EAEAEA"/>
          <w:spacing w:val="0"/>
          <w:w w:val="100"/>
          <w:position w:val="0"/>
          <w:sz w:val="13"/>
          <w:szCs w:val="13"/>
          <w:shd w:val="clear" w:color="auto" w:fill="auto"/>
          <w:lang w:val="ru-RU" w:eastAsia="ru-RU" w:bidi="ru-RU"/>
        </w:rPr>
        <w:t>СЕРТИФИКАТЕ ЭП</w:t>
      </w:r>
    </w:p>
    <w:p>
      <w:pPr>
        <w:pStyle w:val="Style5"/>
        <w:keepNext w:val="0"/>
        <w:keepLines w:val="0"/>
        <w:widowControl w:val="0"/>
        <w:shd w:val="clear" w:color="auto" w:fill="auto"/>
        <w:bidi w:val="0"/>
        <w:spacing w:before="0" w:after="0" w:line="240" w:lineRule="auto"/>
        <w:ind w:left="2900" w:right="0" w:firstLine="0"/>
        <w:jc w:val="left"/>
        <w:rPr>
          <w:sz w:val="12"/>
          <w:szCs w:val="12"/>
        </w:rPr>
      </w:pPr>
      <w:r>
        <w:rPr>
          <w:rFonts w:ascii="Arial" w:eastAsia="Arial" w:hAnsi="Arial" w:cs="Arial"/>
          <w:color w:val="3D3D3D"/>
          <w:spacing w:val="0"/>
          <w:w w:val="100"/>
          <w:position w:val="0"/>
          <w:sz w:val="13"/>
          <w:szCs w:val="13"/>
          <w:shd w:val="clear" w:color="auto" w:fill="auto"/>
          <w:lang w:val="ru-RU" w:eastAsia="ru-RU" w:bidi="ru-RU"/>
        </w:rPr>
        <w:t xml:space="preserve">Кому </w:t>
      </w:r>
      <w:r>
        <w:rPr>
          <w:rFonts w:ascii="Arial" w:eastAsia="Arial" w:hAnsi="Arial" w:cs="Arial"/>
          <w:color w:val="000000"/>
          <w:spacing w:val="0"/>
          <w:w w:val="100"/>
          <w:position w:val="0"/>
          <w:sz w:val="13"/>
          <w:szCs w:val="13"/>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Исламгулов Салават Фаритович</w:t>
      </w:r>
    </w:p>
    <w:p>
      <w:pPr>
        <w:pStyle w:val="Style5"/>
        <w:keepNext w:val="0"/>
        <w:keepLines w:val="0"/>
        <w:widowControl w:val="0"/>
        <w:shd w:val="clear" w:color="auto" w:fill="auto"/>
        <w:bidi w:val="0"/>
        <w:spacing w:before="0" w:after="0" w:line="240" w:lineRule="auto"/>
        <w:ind w:left="2900" w:right="0" w:firstLine="0"/>
        <w:jc w:val="left"/>
        <w:rPr>
          <w:sz w:val="13"/>
          <w:szCs w:val="13"/>
        </w:rPr>
      </w:pPr>
      <w:r>
        <w:rPr>
          <w:rFonts w:ascii="Arial" w:eastAsia="Arial" w:hAnsi="Arial" w:cs="Arial"/>
          <w:color w:val="3D3D3D"/>
          <w:spacing w:val="0"/>
          <w:w w:val="100"/>
          <w:position w:val="0"/>
          <w:sz w:val="13"/>
          <w:szCs w:val="13"/>
          <w:shd w:val="clear" w:color="auto" w:fill="auto"/>
          <w:lang w:val="ru-RU" w:eastAsia="ru-RU" w:bidi="ru-RU"/>
        </w:rPr>
        <w:t xml:space="preserve">Сертификат </w:t>
      </w:r>
      <w:r>
        <w:rPr>
          <w:rFonts w:ascii="Arial" w:eastAsia="Arial" w:hAnsi="Arial" w:cs="Arial"/>
          <w:color w:val="000000"/>
          <w:spacing w:val="0"/>
          <w:w w:val="100"/>
          <w:position w:val="0"/>
          <w:sz w:val="13"/>
          <w:szCs w:val="13"/>
          <w:shd w:val="clear" w:color="auto" w:fill="auto"/>
          <w:lang w:val="ru-RU" w:eastAsia="ru-RU" w:bidi="ru-RU"/>
        </w:rPr>
        <w:t xml:space="preserve">№ </w:t>
      </w:r>
      <w:r>
        <w:rPr>
          <w:rFonts w:ascii="Arial" w:eastAsia="Arial" w:hAnsi="Arial" w:cs="Arial"/>
          <w:color w:val="242324"/>
          <w:spacing w:val="0"/>
          <w:w w:val="100"/>
          <w:position w:val="0"/>
          <w:sz w:val="13"/>
          <w:szCs w:val="13"/>
          <w:shd w:val="clear" w:color="auto" w:fill="auto"/>
          <w:lang w:val="ru-RU" w:eastAsia="ru-RU" w:bidi="ru-RU"/>
        </w:rPr>
        <w:t xml:space="preserve">00841 </w:t>
      </w:r>
      <w:r>
        <w:rPr>
          <w:rFonts w:ascii="Arial" w:eastAsia="Arial" w:hAnsi="Arial" w:cs="Arial"/>
          <w:color w:val="3D3D3D"/>
          <w:spacing w:val="0"/>
          <w:w w:val="100"/>
          <w:position w:val="0"/>
          <w:sz w:val="13"/>
          <w:szCs w:val="13"/>
          <w:shd w:val="clear" w:color="auto" w:fill="auto"/>
          <w:lang w:val="ru-RU" w:eastAsia="ru-RU" w:bidi="ru-RU"/>
        </w:rPr>
        <w:t>ВЕ2АЕСВААЕЕ700406032Е9С08В(ЮУ</w:t>
      </w:r>
    </w:p>
    <w:p>
      <w:pPr>
        <w:pStyle w:val="Style5"/>
        <w:keepNext w:val="0"/>
        <w:keepLines w:val="0"/>
        <w:widowControl w:val="0"/>
        <w:shd w:val="clear" w:color="auto" w:fill="auto"/>
        <w:bidi w:val="0"/>
        <w:spacing w:before="0" w:after="3640" w:line="240" w:lineRule="auto"/>
        <w:ind w:left="2900" w:right="0" w:firstLine="0"/>
        <w:jc w:val="left"/>
        <w:rPr>
          <w:sz w:val="13"/>
          <w:szCs w:val="13"/>
        </w:rPr>
      </w:pPr>
      <w:r>
        <w:rPr>
          <w:rFonts w:ascii="Arial" w:eastAsia="Arial" w:hAnsi="Arial" w:cs="Arial"/>
          <w:color w:val="636465"/>
          <w:spacing w:val="0"/>
          <w:w w:val="100"/>
          <w:position w:val="0"/>
          <w:sz w:val="13"/>
          <w:szCs w:val="13"/>
          <w:shd w:val="clear" w:color="auto" w:fill="auto"/>
          <w:lang w:val="ru-RU" w:eastAsia="ru-RU" w:bidi="ru-RU"/>
        </w:rPr>
        <w:t xml:space="preserve">Действителен </w:t>
      </w:r>
      <w:r>
        <w:rPr>
          <w:rFonts w:ascii="Arial" w:eastAsia="Arial" w:hAnsi="Arial" w:cs="Arial"/>
          <w:color w:val="3D3D3D"/>
          <w:spacing w:val="0"/>
          <w:w w:val="100"/>
          <w:position w:val="0"/>
          <w:sz w:val="13"/>
          <w:szCs w:val="13"/>
          <w:shd w:val="clear" w:color="auto" w:fill="auto"/>
          <w:lang w:val="ru-RU" w:eastAsia="ru-RU" w:bidi="ru-RU"/>
        </w:rPr>
        <w:t xml:space="preserve">с </w:t>
      </w:r>
      <w:r>
        <w:rPr>
          <w:rFonts w:ascii="Arial" w:eastAsia="Arial" w:hAnsi="Arial" w:cs="Arial"/>
          <w:color w:val="636465"/>
          <w:spacing w:val="0"/>
          <w:w w:val="100"/>
          <w:position w:val="0"/>
          <w:sz w:val="13"/>
          <w:szCs w:val="13"/>
          <w:shd w:val="clear" w:color="auto" w:fill="auto"/>
          <w:lang w:val="ru-RU" w:eastAsia="ru-RU" w:bidi="ru-RU"/>
        </w:rPr>
        <w:t>03.1</w:t>
      </w:r>
      <w:r>
        <w:rPr>
          <w:rFonts w:ascii="Arial" w:eastAsia="Arial" w:hAnsi="Arial" w:cs="Arial"/>
          <w:color w:val="8C8C8C"/>
          <w:spacing w:val="0"/>
          <w:w w:val="100"/>
          <w:position w:val="0"/>
          <w:sz w:val="13"/>
          <w:szCs w:val="13"/>
          <w:shd w:val="clear" w:color="auto" w:fill="auto"/>
          <w:lang w:val="ru-RU" w:eastAsia="ru-RU" w:bidi="ru-RU"/>
        </w:rPr>
        <w:t>1</w:t>
      </w:r>
      <w:r>
        <w:rPr>
          <w:rFonts w:ascii="Arial" w:eastAsia="Arial" w:hAnsi="Arial" w:cs="Arial"/>
          <w:color w:val="636465"/>
          <w:spacing w:val="0"/>
          <w:w w:val="100"/>
          <w:position w:val="0"/>
          <w:sz w:val="13"/>
          <w:szCs w:val="13"/>
          <w:shd w:val="clear" w:color="auto" w:fill="auto"/>
          <w:lang w:val="ru-RU" w:eastAsia="ru-RU" w:bidi="ru-RU"/>
        </w:rPr>
        <w:t xml:space="preserve">.2023 </w:t>
      </w:r>
      <w:r>
        <w:rPr>
          <w:rFonts w:ascii="Arial" w:eastAsia="Arial" w:hAnsi="Arial" w:cs="Arial"/>
          <w:color w:val="000000"/>
          <w:spacing w:val="0"/>
          <w:w w:val="100"/>
          <w:position w:val="0"/>
          <w:sz w:val="13"/>
          <w:szCs w:val="13"/>
          <w:shd w:val="clear" w:color="auto" w:fill="auto"/>
          <w:lang w:val="ru-RU" w:eastAsia="ru-RU" w:bidi="ru-RU"/>
        </w:rPr>
        <w:t xml:space="preserve">по </w:t>
      </w:r>
      <w:r>
        <w:rPr>
          <w:rFonts w:ascii="Arial" w:eastAsia="Arial" w:hAnsi="Arial" w:cs="Arial"/>
          <w:color w:val="636465"/>
          <w:spacing w:val="0"/>
          <w:w w:val="100"/>
          <w:position w:val="0"/>
          <w:sz w:val="13"/>
          <w:szCs w:val="13"/>
          <w:shd w:val="clear" w:color="auto" w:fill="auto"/>
          <w:lang w:val="ru-RU" w:eastAsia="ru-RU" w:bidi="ru-RU"/>
        </w:rPr>
        <w:t>26.01.2025</w:t>
      </w:r>
    </w:p>
    <w:p>
      <w:pPr>
        <w:pStyle w:val="Style5"/>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Исп.Ларшутин Р.С. тел.(347) 216-33-54</w:t>
      </w:r>
    </w:p>
    <w:sectPr>
      <w:footnotePr>
        <w:pos w:val="pageBottom"/>
        <w:numFmt w:val="decimal"/>
        <w:numRestart w:val="continuous"/>
      </w:footnotePr>
      <w:type w:val="continuous"/>
      <w:pgSz w:w="11900" w:h="16840"/>
      <w:pgMar w:top="499" w:right="538" w:bottom="1298"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10022840</wp:posOffset>
              </wp:positionV>
              <wp:extent cx="725170" cy="100330"/>
              <wp:wrapNone/>
              <wp:docPr id="2" name="Shape 2"/>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9.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2024-13077</w:t>
                          </w:r>
                        </w:p>
                      </w:txbxContent>
                    </wps:txbx>
                    <wps:bodyPr wrap="none" lIns="0" tIns="0" rIns="0" bIns="0">
                      <a:spAutoFit/>
                    </wps:bodyPr>
                  </wps:wsp>
                </a:graphicData>
              </a:graphic>
            </wp:anchor>
          </w:drawing>
        </mc:Choice>
        <mc:Fallback>
          <w:pict>
            <v:shape id="_x0000_s1030"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2024-13077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Другое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42324"/>
      <w:sz w:val="13"/>
      <w:szCs w:val="13"/>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Другое"/>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23" w:lineRule="auto"/>
    </w:pPr>
    <w:rPr>
      <w:rFonts w:ascii="Times New Roman" w:eastAsia="Times New Roman" w:hAnsi="Times New Roman" w:cs="Times New Roman"/>
      <w:b w:val="0"/>
      <w:bCs w:val="0"/>
      <w:i w:val="0"/>
      <w:iCs w:val="0"/>
      <w:smallCaps w:val="0"/>
      <w:strike w:val="0"/>
      <w:color w:val="242324"/>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