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1781175</wp:posOffset>
            </wp:positionH>
            <wp:positionV relativeFrom="margin">
              <wp:posOffset>0</wp:posOffset>
            </wp:positionV>
            <wp:extent cx="542290" cy="57912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42290" cy="57912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51" w:line="1" w:lineRule="exact"/>
      </w:pP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531" w:bottom="1216" w:left="1101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80" w:line="254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Тюменской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625048, г. Тюмень, ул. Холодильная, 58а</w:t>
        <w:br/>
        <w:t>тел. (3452) 50-31-55, факс (3452) 50-59-14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71" w:lineRule="auto"/>
        <w:ind w:left="0" w:right="0" w:firstLine="0"/>
        <w:jc w:val="center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>е-таН: 1о72@Га8.§оу.ги</w:t>
      </w:r>
    </w:p>
    <w:p>
      <w:pPr>
        <w:pStyle w:val="Style11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7.09.2024</w:t>
        <w:tab/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ЮВ/6852/24</w:t>
      </w:r>
      <w:bookmarkEnd w:id="0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 направлении решения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«Единая электронная торговая площадка»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Кожевническая д. 14, строен. 5, г. Москва, 115114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«Биотех»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Соловьева д. 18, пом. 65, г. Йошкар-Ола, 424006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ФГБОУ ВО «Тюменский государственный медицинский университет» Министерства здравоохранения РФ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1021" w:bottom="1226" w:left="1101" w:header="0" w:footer="3" w:gutter="0"/>
          <w:cols w:num="2" w:space="83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Одесская д. 54, г. Тюмень, 625023</w:t>
      </w:r>
    </w:p>
    <w:p>
      <w:pPr>
        <w:widowControl w:val="0"/>
        <w:spacing w:before="51" w:after="5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0" w:bottom="122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№ 072/06/44/148/2024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8990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25 сентября 2024 года</w:t>
        <w:tab/>
        <w:t>г. Тюмень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Тюменской области по контролю в сфере закупок товаров, работ, услуг для обеспечения государственных и муниципальных нужд (далее - Комиссия, антимонопольный орган) в составе: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2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 - заместитель руководителя управления Верзун Ю.Д., Члены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Ведущий специалист-эксперт отдела контроля закупок Назаров И.Г.,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Специалист-эксперт отдела контроля закупок Романенко В.В.,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участием представителей заказчика: ФГБОУ ВО «Тюменский государственный медицинский университет» Министерства здравоохранения РФ (далее - заказчик), Воробьевой Е.В. по доверенности № 35 от 24.06.2024, Созонова А.И. по доверенности № 42 от 24.09.2024,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участием представителя заявителя: ООО «Биотех» (далее - заявитель, Общество), Рязапова Д.Р. по доверенности № б/н от 18.09.2024,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в дистанционном режиме посредством плагина видеоконференции Тгие СопГ в порядке, предусмотренном Федеральным законом от 05.04.2013 № 44- ФЗ «О контрактной системе в сфере закупок товаров, работ, услуг для обеспечения государственных и муниципальных нужд» (далее также - Закон о контрактной системе, Закон № 44-ФЗ) жалобу ООО «Биотех» на действия заказчика ФГБОУ ВО «Тюменский государственный медицинский университет» Министерства здравоохранения РФ при проведении электронного аукциона на поставку оборудования для симуляционного центра (реестровый номер закупки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111111IIIIII111111111III</w:t>
      </w:r>
      <w:bookmarkEnd w:id="2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0367100010724000032),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Управление Федеральной антимонопольной службы по Тюменской области (далее - Тюменское УФАС России) поступила жалоба ООО «Биотех» на действия ФГБОУ ВО «Тюменский государственный медицинский университет» Министерства здравоохранения РФ при проведении электронного аукциона на поставку оборудования для симуляционного центра.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Указанная жалоба заявителя признана соответствующей требованиям, предусмотренным статьёй 105 Закона о контрактной системе, и принята к рассмотрению. Во исполнение требований части 8 статьи 105 Закона о контрактной системе информация о содержании поступившей жалобы, дате и времени её рассмотрения размещены в реестре жалоб на официальном сайте Единой информационной системы в сфере закупок (\\л\л\\/а1&lt;ир1&lt;1.до\\П1).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в поступившей жалобе указывает, что заказчиком в проекте контракта установлен неразумный и короткий срок (15 дней), необходимый для изготовления и поставки требуемого товара по контракту, что ставит заказчика и поставщика в заведомо неравные условия.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в материалы дела представлены возражения на жалобу заявителя, просит признать жалобу заявителя необоснованной.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материалы дела и оценив в совокупности представленные документы, Комиссия приходит к следующим выводам.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3 части 1 статьи 3 Закона о контрактной системе предусмотрено, что закупка товара, работы, услуги для обеспечения государственных или муниципальных нужд (далее - закупка) - совокупность действий, осуществляемых в установленном настоящим Федеральным законом порядке заказчиком и направленных на обеспечение государственных или муниципальных нужд. Закупка начинается с определения поставщика (подрядчика, исполнителя) и завершается исполнением обязательств сторонами контракта. В случае, если в соответствии с настоящим Федеральным законом не предусмотрено размещение извещения об осуществлении закупки или направление приглашения принять участие в определении поставщика (подрядчика, исполнителя), закупка начинается с заключения контракта и завершается исполнением обязательств сторонами контракта.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Частью 1 статьи 12 Закона о контрактной системе предусмотрено, что государственные органы, органы управления государственными внебюджетными фондами, муниципальные органы, казенные учреждения, иные юридические лица в случаях, установленных настоящим Федеральным законом,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силу части 1 статьи 34 Закона о контрактной системе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настоящим Федеральным законом извещение об осуществлении закупки или приглашение, документация о закупке, заявка не предусмотрены.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8 части 1 статьи 42 Закона о контрактной системе предусмотрено, что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содержащее, в том числе, срок исполнения контракта (отдельных этапов исполнения контракта, если проектом контракта предусмотрены такие этапы).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материалов дела следует, что ФГБОУ ВО «Тюменский государственный медицинский университет» Министерства здравоохранения РФ являясь заказчиком, выступило организатором проведения электронного аукциона на поставку оборудования для симуляционного центра, с начальной (максимальной) ценой контракта 2 428 500,00 рублей.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Информация об электронном аукционе была размещена 12.09.2024 на официальном сайте ЕИС в сфере закупок:</w:t>
      </w:r>
      <w:r>
        <w:fldChar w:fldCharType="begin"/>
      </w:r>
      <w:r>
        <w:rPr/>
        <w:instrText> HYPERLINK "http://zakupki.gov.ru/"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11Пр:///а1&lt;ир1&lt;1.до\л11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 с реестровым номером закупки 0367100010724000032 Адрес электронной площадки в информационно-телекоммуникационной сети «Интернет» определенной для проведения закупки Ъйр://гозе11огд.ги.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 следует из пункта 1.2 проекта контракта срок поставки товара составляет в течение 15 (пятнадцати) календарных дней со дня получения поставщиком заявки от заказчика. Заявки подаются заказчиком с даты заключения контракта по 30.11.2024, на электронный адрес и по телефону поставщика, любым способом, позволяющим подтвердить их получение поставщиком.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заседании Комиссии представители заказчика пояснили, что срок поставки определялся исходя из потребностей заказчика, как образовательного учреждения, в связи с тем, что закупаемая продукция необходима для обеспечения образовательного процесса. При большем сроке поставки товара заказчик не сможет в должной мере и с должным качеством выполнить свои задачи, определенные уставной деятельностью, а также обеспечить эффективность расходования бюджетных средств.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ходе анализа рынка закупаемой продукции и формирования начальной максимальной цены контракта заказчиком в единой информационной системе размещен запрос цен, на который поступила информация о ценах от трех потенциальных поставщиков, способных поставить товар заказчику с требуемыми характеристиками и в установленный срок.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 верно было отмечено заказчиком, Закон о контрактной системе не содержит требований к минимально возможному сроку поставку товара, который заказчик вправе указать в извещении об осуществлении закупки и проекте контракта исходя из своих потребностей. В то же время заказчик не обязан при осуществлении закупки исходить из того, чтобы любые хозяйствующие субъекты имели возможность осуществить поставку необходимых товаров в установленный срок.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Довод заявителя о том, что установленный заказчиком срок не учитывает срок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необходимый для изготовления товара, Комиссия Тюменского УФАС России признает несостоятельным, поскольку по условиям закупки предметом контракта является поставка уже имеющегося на рынке товара, а не его изготовление по заявкам заказчика.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этом, отсутствие у заявителя возможности поставить товар с учетом срока, установленного в извещении об осуществлении закупки, не свидетельствует о том, что действия заказчика повлекли необоснованное ограничение конкуренции.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изложенного, Комиссия Тюменского УФАС России не усматривает того факта, что установленный в проекте контракта срок является несоразмерным объему поставки, является неразумным и не позволяющим надлежащим образом обеспечить поставку товара в адрес заказчика и полагает необходимым признать жалобу заявителя необоснованной.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изложенного, руководствуясь пунктом 1 части 15 статьи 99, частью 8 статьи 106 Закона о контрактной системе,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Признать жалобу ООО «Биотех»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необоснованной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В соответствии с частью 9 статьи 106 Закона о контрактной системе настоящее решение может быть оспорено в арбитражном суде в течение трех месяцев со дня его принятия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left"/>
      </w:pPr>
      <w:r>
        <w:drawing>
          <wp:anchor distT="36830" distB="0" distL="2023110" distR="1852930" simplePos="0" relativeHeight="125829378" behindDoc="0" locked="0" layoutInCell="1" allowOverlap="1">
            <wp:simplePos x="0" y="0"/>
            <wp:positionH relativeFrom="page">
              <wp:posOffset>2698750</wp:posOffset>
            </wp:positionH>
            <wp:positionV relativeFrom="paragraph">
              <wp:posOffset>49530</wp:posOffset>
            </wp:positionV>
            <wp:extent cx="389890" cy="572770"/>
            <wp:wrapSquare wrapText="right"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12700</wp:posOffset>
                </wp:positionV>
                <wp:extent cx="1874520" cy="25273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745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200000000000003pt;margin-top:1.pt;width:147.59999999999999pt;height:19.9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Председатель комиссии: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3195320</wp:posOffset>
                </wp:positionH>
                <wp:positionV relativeFrom="paragraph">
                  <wp:posOffset>488315</wp:posOffset>
                </wp:positionV>
                <wp:extent cx="1276985" cy="10033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51.59999999999999pt;margin-top:38.450000000000003pt;width:100.5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3149600</wp:posOffset>
                </wp:positionH>
                <wp:positionV relativeFrom="paragraph">
                  <wp:posOffset>174625</wp:posOffset>
                </wp:positionV>
                <wp:extent cx="1725295" cy="25908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8.pt;margin-top:13.75pt;width:135.84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Ю.Д. Верзун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81818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Верзун Юрий Дмитриевич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49СС80692629ЕВ5А5С76А6Е2177ЕО556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16.07.2024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818181"/>
          <w:spacing w:val="0"/>
          <w:w w:val="100"/>
          <w:position w:val="0"/>
          <w:shd w:val="clear" w:color="auto" w:fill="auto"/>
          <w:lang w:val="ru-RU" w:eastAsia="ru-RU" w:bidi="ru-RU"/>
        </w:rPr>
        <w:t>09.10.2025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31" w:bottom="1227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76200" distB="201295" distL="0" distR="0" simplePos="0" relativeHeight="125829379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76200</wp:posOffset>
                </wp:positionV>
                <wp:extent cx="1341120" cy="25273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8.200000000000003pt;margin-top:6.pt;width:105.60000000000001pt;height:19.900000000000002pt;z-index:-125829374;mso-wrap-distance-left:0;mso-wrap-distance-top:6.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7640" distB="0" distL="0" distR="1807210" simplePos="0" relativeHeight="125829381" behindDoc="0" locked="0" layoutInCell="1" allowOverlap="1">
            <wp:simplePos x="0" y="0"/>
            <wp:positionH relativeFrom="page">
              <wp:posOffset>2757170</wp:posOffset>
            </wp:positionH>
            <wp:positionV relativeFrom="paragraph">
              <wp:posOffset>167640</wp:posOffset>
            </wp:positionV>
            <wp:extent cx="311150" cy="36576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3150235</wp:posOffset>
                </wp:positionH>
                <wp:positionV relativeFrom="paragraph">
                  <wp:posOffset>237490</wp:posOffset>
                </wp:positionV>
                <wp:extent cx="1725295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8.05000000000001pt;margin-top:18.699999999999999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6200" distB="201295" distL="0" distR="0" simplePos="0" relativeHeight="125829382" behindDoc="0" locked="0" layoutInCell="1" allowOverlap="1">
                <wp:simplePos x="0" y="0"/>
                <wp:positionH relativeFrom="page">
                  <wp:posOffset>4954270</wp:posOffset>
                </wp:positionH>
                <wp:positionV relativeFrom="paragraph">
                  <wp:posOffset>76200</wp:posOffset>
                </wp:positionV>
                <wp:extent cx="990600" cy="2527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9060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И.Г. Назаров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390.10000000000002pt;margin-top:6.pt;width:78.pt;height:19.900000000000002pt;z-index:-125829371;mso-wrap-distance-left:0;mso-wrap-distance-top:6.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И.Г. Назаров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СЕРТИФИКАТЕ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6666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Назаров Игорь Геннадьевич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00ВВВ6АЕА26С7А5С08О93ВС1Е66Е08164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>09.11.2023 по 01.02.2025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75" w:line="240" w:lineRule="auto"/>
        <w:ind w:left="0" w:right="0" w:firstLine="0"/>
        <w:jc w:val="left"/>
      </w:pPr>
      <w:r>
        <w:drawing>
          <wp:anchor distT="0" distB="0" distL="63500" distR="1852930" simplePos="0" relativeHeight="125829384" behindDoc="0" locked="0" layoutInCell="1" allowOverlap="1">
            <wp:simplePos x="0" y="0"/>
            <wp:positionH relativeFrom="page">
              <wp:posOffset>2732405</wp:posOffset>
            </wp:positionH>
            <wp:positionV relativeFrom="paragraph">
              <wp:posOffset>63500</wp:posOffset>
            </wp:positionV>
            <wp:extent cx="353695" cy="40259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3150235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8.05000000000001pt;margin-top:12.200000000000001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В.В. Романенко</w:t>
      </w:r>
    </w:p>
    <w:p>
      <w:pPr>
        <w:pStyle w:val="Style31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6666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Романенко Вадим Владимирович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>ООЕОЕ71ВВЕ2А7СВОС571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00Е0П8В2Е425Е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09.11.2023 </w:t>
      </w:r>
      <w:r>
        <w:rPr>
          <w:color w:val="81818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>01.02.2025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6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10016490</wp:posOffset>
              </wp:positionV>
              <wp:extent cx="636905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2024-7671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850000000000001pt;margin-top:788.70000000000005pt;width:50.149999999999999pt;height:7.90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2024-7671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36905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2024-7671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50.149999999999999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2024-7671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A"/>
      <w:sz w:val="17"/>
      <w:szCs w:val="17"/>
      <w:u w:val="none"/>
    </w:rPr>
  </w:style>
  <w:style w:type="character" w:customStyle="1" w:styleId="CharStyle8">
    <w:name w:val="Основной текст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A"/>
      <w:sz w:val="19"/>
      <w:szCs w:val="19"/>
      <w:u w:val="none"/>
    </w:rPr>
  </w:style>
  <w:style w:type="character" w:customStyle="1" w:styleId="CharStyle12">
    <w:name w:val="Заголовок №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4">
    <w:name w:val="Основной текст (6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Основной текст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72727"/>
      <w:sz w:val="11"/>
      <w:szCs w:val="11"/>
      <w:u w:val="none"/>
    </w:rPr>
  </w:style>
  <w:style w:type="character" w:customStyle="1" w:styleId="CharStyle23">
    <w:name w:val="Заголовок №1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sz w:val="42"/>
      <w:szCs w:val="42"/>
      <w:u w:val="none"/>
    </w:rPr>
  </w:style>
  <w:style w:type="character" w:customStyle="1" w:styleId="CharStyle26">
    <w:name w:val="Основной текст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character" w:customStyle="1" w:styleId="CharStyle32">
    <w:name w:val="Основной текст (5)_"/>
    <w:basedOn w:val="DefaultParagraphFont"/>
    <w:link w:val="Style3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9E9E9"/>
      <w:sz w:val="12"/>
      <w:szCs w:val="1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4)"/>
    <w:basedOn w:val="Normal"/>
    <w:link w:val="CharStyle6"/>
    <w:pPr>
      <w:widowControl w:val="0"/>
      <w:shd w:val="clear" w:color="auto" w:fill="auto"/>
      <w:spacing w:after="150" w:line="295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A"/>
      <w:sz w:val="17"/>
      <w:szCs w:val="17"/>
      <w:u w:val="none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auto"/>
      <w:spacing w:after="90" w:line="247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A"/>
      <w:sz w:val="19"/>
      <w:szCs w:val="19"/>
      <w:u w:val="none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auto"/>
      <w:spacing w:after="34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3">
    <w:name w:val="Основной текст (6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5">
    <w:name w:val="Основной текст"/>
    <w:basedOn w:val="Normal"/>
    <w:link w:val="CharStyle16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72727"/>
      <w:sz w:val="11"/>
      <w:szCs w:val="11"/>
      <w:u w:val="none"/>
    </w:rPr>
  </w:style>
  <w:style w:type="paragraph" w:customStyle="1" w:styleId="Style22">
    <w:name w:val="Заголовок №1"/>
    <w:basedOn w:val="Normal"/>
    <w:link w:val="CharStyle23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2"/>
      <w:szCs w:val="42"/>
      <w:u w:val="none"/>
    </w:rPr>
  </w:style>
  <w:style w:type="paragraph" w:customStyle="1" w:styleId="Style25">
    <w:name w:val="Основной текст (2)"/>
    <w:basedOn w:val="Normal"/>
    <w:link w:val="CharStyle26"/>
    <w:pPr>
      <w:widowControl w:val="0"/>
      <w:shd w:val="clear" w:color="auto" w:fill="auto"/>
      <w:ind w:left="32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paragraph" w:customStyle="1" w:styleId="Style31">
    <w:name w:val="Основной текст (5)"/>
    <w:basedOn w:val="Normal"/>
    <w:link w:val="CharStyle32"/>
    <w:pPr>
      <w:widowControl w:val="0"/>
      <w:shd w:val="clear" w:color="auto" w:fill="auto"/>
      <w:spacing w:after="100"/>
      <w:ind w:left="39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9E9E9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