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0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4B6294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b/>
          <w:bCs/>
          <w:color w:val="4B6294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Смоленской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4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тел.(4812) 38-62-22, факс (4812) 38-62-22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1о67@Гаа. цот.гц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ВШ/4029/2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left"/>
      </w:pPr>
      <w:r>
        <w:rPr>
          <w:color w:val="4B629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</w:t>
      </w:r>
      <w:r>
        <w:rPr>
          <w:color w:val="858995"/>
          <w:spacing w:val="0"/>
          <w:w w:val="100"/>
          <w:position w:val="0"/>
          <w:shd w:val="clear" w:color="auto" w:fill="auto"/>
          <w:lang w:val="ru-RU" w:eastAsia="ru-RU" w:bidi="ru-RU"/>
        </w:rPr>
        <w:t>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заказчик: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ОГБУЗ «Клиническая больница скорой медицинской помощи»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Тенишевой, д.9, г. Смоленск, 214000 </w:t>
      </w:r>
      <w:r>
        <w:fldChar w:fldCharType="begin"/>
      </w:r>
      <w:r>
        <w:rPr/>
        <w:instrText> HYPERLINK "mailto:zakupkikbsmp@yandex.ru"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/акирк|кЬ8тр?/уапс1сх.П1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Главное управление Смоленской области по регулированию контрактной системы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пл. Ленина, д. 1, каб. 321, г. Смоленск, 214008 </w:t>
      </w: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8О8/ака/«ас111ип-8то1сп8к.ги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«Дельтамед»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пр-т Карла Маркса, д.30/1, офис 329, г. Новосибирск, Новосибирская обл., 630087 оос!е11атес1«.§та11.сот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Электронная площадка: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86" w:right="862" w:bottom="1159" w:left="1140" w:header="0" w:footer="3" w:gutter="0"/>
          <w:pgNumType w:start="1"/>
          <w:cols w:num="2" w:space="62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«РТС-тендер»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кос/ й8-1епс1ег.ги</w:t>
      </w:r>
    </w:p>
    <w:p>
      <w:pPr>
        <w:widowControl w:val="0"/>
        <w:spacing w:before="105" w:after="10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90" w:right="0" w:bottom="11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067/06/33-594/2024 о нарушении</w:t>
        <w:br/>
        <w:t>законодательства Российской Федерации о контрактной системе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10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сентября 2024 года</w:t>
        <w:tab/>
        <w:t>г. Смоленск</w:t>
      </w:r>
    </w:p>
    <w:tbl>
      <w:tblPr>
        <w:tblOverlap w:val="never"/>
        <w:jc w:val="center"/>
        <w:tblLayout w:type="fixed"/>
      </w:tblPr>
      <w:tblGrid>
        <w:gridCol w:w="5914"/>
        <w:gridCol w:w="4210"/>
      </w:tblGrid>
      <w:tr>
        <w:trPr>
          <w:trHeight w:val="595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Комиссия Смоленского УФАС России по Комиссия) в следующем составе: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контролю в сфере закупок (далее</w:t>
            </w:r>
          </w:p>
        </w:tc>
      </w:tr>
      <w:tr>
        <w:trPr>
          <w:trHeight w:val="147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Заместитель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690" w:val="left"/>
                <w:tab w:pos="324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начальник отдела контроля закупок и антимонопольного контроля</w:t>
              <w:tab/>
              <w:t>органов</w:t>
              <w:tab/>
              <w:t>власти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Смоленского УФАС России;</w:t>
            </w:r>
          </w:p>
        </w:tc>
      </w:tr>
      <w:tr>
        <w:trPr>
          <w:trHeight w:val="29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специалист-эксперт отдела контроля закупок и антимонопольного контроля органов власти Смоленского УФАС России;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специалист-эксперт отдела контроля закупок и антимонопольного контроля органов власти Смоленского УФАС России,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дистанционном режиме представителей:</w:t>
      </w:r>
    </w:p>
    <w:p>
      <w:pPr>
        <w:widowControl w:val="0"/>
        <w:spacing w:after="199" w:line="1" w:lineRule="exact"/>
      </w:pP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1111111111111111111IIIII</w:t>
      </w:r>
      <w:bookmarkEnd w:id="10"/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заказчика: Кочкуровой Е.С. (доверенность №48 от 26.04.2024), Черняк М.А. (доверенность №86 от 26.08.2024), Рожкова Д.С. (доверенность №100 от 18.09.2024);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органа: Скворцовой А.В. (доверенность №20 от 19.02.2024);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заявителя: Андрусенко С.П. (доверенность №б/н от 18.09.2024), Василевского С.А. (доверенность №б/н от 17.09.2024);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приказом ФАС России от 11.02.2014 № 75/14, приказом Смоленского УФАС России от 20.08.2024 № 117/24, в дистанционном режиме жалобу Общества с ограниченной ответственностью «Дельтамед» (далее - Заявитель) и проведя внеплановую проверку,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Смоленское УФАС России 16.09.2024 поступила жалоба Заявителя, согласно которой заказчиком при проведении аукциона в электронной форме «Поставка расходных материалов для отделения РХМДЛ для нужд ОГБУЗ «Клиническая больница скорой медицинской помощи» в течение 2024 года» (извещение №0163200000324005390) нарушены требования Закона, которые выразились в следующем: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Заказчиком в структурированной форме описания объекта закупки установлены диапазонные значения характеристик закупаемого товара, изменение которых не допускается, что не позволяет участнику закупки указать в структурированной форме заявки значение характеристик предлагаемого к поставке товара;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в один лот включены медицинские изделия, которые не совместимы с основным изделием.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Государственным заказчиком по электронному аукциону является Областное государственное бюджетное учреждение здравоохранения «Клиническая больница скорой медицинской помощи», уполномоченным органом - Главное управление Смоленской области по регулированию контрактной системы.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Заявителя не согласился.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Заказчиком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пояснений сторон, Комиссия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06.09.2024 на официальном сайте единой информационной системы в сфере закупок </w:t>
      </w:r>
      <w:r>
        <w:rPr>
          <w:rFonts w:ascii="Arial" w:eastAsia="Arial" w:hAnsi="Arial" w:cs="Arial"/>
          <w:smallCaps/>
          <w:color w:val="02007F"/>
          <w:spacing w:val="0"/>
          <w:w w:val="100"/>
          <w:position w:val="0"/>
          <w:sz w:val="18"/>
          <w:szCs w:val="18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2007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гак ирк1, § о у. ш</w:t>
      </w:r>
      <w:r>
        <w:rPr>
          <w:color w:val="02007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размещено Извещение №0163200000324005390 о проведении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- 3 000 000,00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подачи ценовых предложений от 16.09.2024 №ЦПА1 на участие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 заявки подали 2 участника закупки, ценовые предложения которых составили: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с идентификационным номером 117288964 - 1 494 095,10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с идентификационным номером 117288277 - 1 502 442,00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18.09.2024 №ИЭА1 все заявки участников были признаны соответствующими требованиям Извещения; победителем закупки был признан участник с идентификационным номером 117288964.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1 статьи 3 Закона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Законом порядке заказчиком и направленных на обеспечение государственных или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извещение об осуществлении закупки, если иное не предусмотрено Законом, должно содержать 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"https://login.consultant.ru/link/?req=doc&amp;base=LAW&amp;n=482981&amp;dst=100386&amp;field=134&amp;date=26.09.2024"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2007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33</w:t>
      </w:r>
      <w:r>
        <w:rPr>
          <w:color w:val="02007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23 Закона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формирования) и Правила использования каталога товаров, работ, услуг для обеспечения государственных и муниципальных нужд (далее - Правила использования), утверждены постановлением Правительства РФ от 08.02.2017 № 145 (далее - Постановление №145).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Правил формирования под каталогом товаров, работ, услуг для обеспечения государственных и муниципальных нужд (далее -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034-2014 и включающий в себя информацию в соответствии с Правилами.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19 Правил формирования в позиции каталога в соответствии со статьей 33 Закона может включаться дополнительная информация о конкретных товарах, работах, услугах, в том числе информация о характеристиках таких товаров, их производителях, торговых наименованиях, наименованиях мест происхождения товаров, ценах за единицу количества товара, объема работы, услуги и (или) ценах за единицу измерения количества товара, объема работы, услуги, условиях поставки товаров, выполнения работ, оказания услуг. Указанная информация формируется в том числе производителями и (или) поставщиками (подрядчиками, исполнителями). Основания и порядок формирования и включения такой информации в каталог определяются уполномоченным органом по согласованию с Федеральной антимонопольной службой.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«б» пункта 2 Правил использования каталог используется заказчиками, среди прочего, в целях описания объектов закупки, которое включается в извещение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«в» пункта 4 Правил использования заказчики обязаны применять информацию, включенную в позицию каталога в соответствии с подпунктами «б» - «г» и «е» - «з» пункта 10 Правил формирования,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информацию относительно описания товара, работы, услуги (при наличии такого описания в позиции).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33 Закона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(пункт 1);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2).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Закона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«а» пункта 4 раздела II «Формирование и размещение информации и документов в единой информационной системе»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РФ от 27.01.2022 № 60 документы, сформированные без использования единой информационной системы, размещаются в единой информационной системе в форме электронного документа или образа бумажного документа, объем каждого из которых не должен превышать 50 мегабайт, при этом если информация, содержащаяся в таких электронных документах и (или) образах, не соответствует информации, сформированной с использованием единой информационной системы, приоритет имеет информация, сформированная с использованием единой информационной системы.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2 статьи 42 Закона извещение об осуществлении закупки, если иное не предусмотрено Законом, должно содержать, в том числе, требования к содержанию, составу заявки на участие в закупке в соответствии с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подпунктом «а» пункта 2 части 1 статьи 43 Закона для участия в конкурентном способе заявка на участие в закупке, если иное не предусмотрено Законом,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должна содержать предложение участника закупки в отношении объекта закупки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учетом положений части 2 данной статьи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предлагаемого участником закупки товара,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 части 2 статьи 43 Закона при формировании предложения участника закупки в отношении объекта закупки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информация о товаре,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предусмотренная подпунктами «а» и «б» пункта 2 части 1 данной статьи,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включается в заявку на участие в закупке в случае осуществления закупки товара,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том числе поставляемого заказчику при выполнении закупаемых работ, оказании закупаемых услуг. Информация, предусмотренная подпунктом «а» пункта 2 части 1 данной статьи, может не включаться в заявку на участие в закупке в случае указания заказчиком в описании объекта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поставка расходных материалов для отделения РХМДЛ для нужд ОГБУЗ «Клиническая больница скорой медицинской помощи» в течение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единой информационной системе в сфере закупок размещена структурированная форма описания объекта закупки (далее - Техническое задание) и Требования к содержанию и составу заявки на участие в аукционе, включая Инструкцию по заполнению заявки на участие в электронном аукционе.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Техническим заданием Заказчиком к закупаемому товару по ряду характеристик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(напр., «длина баллона» :&gt;=25,1000&lt;=30,000 (мм); «диаметр баллона» &gt;=3,2б00&lt;=3,500 (мм) и др.)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были установлены их значения в виде диапазонов, изменение которых не допускается.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отмечает, что у конкретного товара такие характеристики как «длина баллона», «диаметр баллона», «профиль баллона» и пр. имеют определенное значение.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Заказчик, установив в описании объекта закупки диапазонные значения таких характеристик без возможности их изменения в пределах установленного диапазона, тем самым ограничил возможность участников закупки подать свои предложения в отношении поставляемого товара, что свидетельствует о нарушении статьи 33, подпункта «а» пункта 2 части 1 статьи 43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данной части жалоба Заявителя находит свое подтверждение.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29 статьи 34 Закона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постановления Правительства Российской Федерации от 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- Постановление №620)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2" w:val="left"/>
          <w:tab w:pos="11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направленных на закупку медицинских изделий в предшествующем году, составил менее 50 млн.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  <w:tab w:pos="11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млн. рублей - для заказчиков, у которых объем денежных средств,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  <w:tab w:pos="11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1,5 млн. рублей - для заказчиков, у которых объем денежных средств,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направленных на закупку медицинских изделий в предшествующем году, составил более 100 млн.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Постановления №620 установлено, что указанное в пункте 1 данного постановления требование не применяется: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111.4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указал представитель Заказчика приказом Минздрава России от 15.11.2012 № 918н утвержден стандарт оснащения отделения рентгенохирургических методов диагностики и лечения, в соответствии с которым необходимо наличие полного набора одноразового инструментария для проведения диагностических и лечебных рентгенэндоваскулярных процедур в необходимом размерном ряде и набора хирургических инструментов для малоинвазивных вмешательств.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к письму Минздрава № 25-3/И/2-2789 от 22.02.2023 главные внештатные специалисты-кардиологи Минздрава РФ подтверждают, что: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диагностический катетер используют для ангиографической оценки локализации и формы поражения коронарной артерии (данное медицинское изделие входит в основную группу инструментов, обязательно применяемых при каждой процедуре чрескожной ангиопластике и стентировании коронарных артерий);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аспирационный катетер применяют при тромботическом характере поражения, а также при остром интраоперационном тромбозе для аспирации тромботических масс, а также детрита, источником которого может являться атеросклеротическая бляшка (данное медицинское изделие входит в дополнительную группу инструментов).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Невозможность выполнения вмешательства, высокий риск осложнений и негативного исхода, в основном связанный не с характером заболевания, а с отсутствием требуемого инструментального оснащения, является недопустимым условием функционирования любого отделения рентгенохирургических методов диагностики и лечения, так как неминуемо приведет к снижению эффективности и безопасности эндоваскулярного лечения пациентов с ишемической болезнью сердца, росту числа ситуаций, когда эндоваскулярное лечение и имплантация стента технически невозможна, росту сердечно-сосудистой смертности и частоты повторных вмешательств и, как следствие, росту финансовых затрат и снижению экономической эффективности оказания помощи и функционирования лечебных учреждений в целом.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выше, Комиссия отмечает, что поскольку Заявителем не представлено доказательств опровергающих позицию Заказчика, оснований полагать, что Заказчиком был нарушен порядок применения Постановления №620 не имеется.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об обратном не нашел своего подтверждения.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Общества с ограниченной ответственностью «Дельтамед» на положения Извещения государственного заказчика - Областного государственного бюджетного учреждения здравоохранения «Клиническая больница скорой медицинской помощи», уполномоченного органа - Главного управления Смоленской области по регулированию контрактной системы при проведении электронного аукциона: «Поставка расходных материалов для отделения РХМДЛ для нужд ОГБУЗ «Клиническая больница скорой медицинской помощи» в течение 2024 года» (извещение №0163200000324005390) обоснованной в части.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государственного заказчика - Областного государственного бюджетного учреждения здравоохранения «Клиническая больница скорой медицинской помощи», уполномоченного органа - Главного управления Смоленской области по регулированию контрактной системы нарушение требований статьи 33, подпункт «а» пункта 2 части 1 статьи 43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аукционной комиссии, государственному заказчику, уполномоченному органу, оператору электронной площадки предписание об устранении нарушений законодательства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уполномоченному должностному лицу материалы для рассмотрения вопроса о возбуждении дела об административном правонарушении.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leader="underscore" w:pos="6768" w:val="left"/>
        </w:tabs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председателя Комиссии </w:t>
        <w:tab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90" w:right="542" w:bottom="1155" w:left="106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706120</wp:posOffset>
              </wp:positionH>
              <wp:positionV relativeFrom="page">
                <wp:posOffset>9998075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5.600000000000001pt;margin-top:787.2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3906520</wp:posOffset>
              </wp:positionH>
              <wp:positionV relativeFrom="page">
                <wp:posOffset>744220</wp:posOffset>
              </wp:positionV>
              <wp:extent cx="6731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7.60000000000002pt;margin-top:58.600000000000001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4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Заголовок №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40"/>
      <w:ind w:firstLine="3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4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5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Заголовок №3"/>
    <w:basedOn w:val="Normal"/>
    <w:link w:val="CharStyle19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