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Пермскому краю</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Ленина, 64, г. Пермь, 614990</w:t>
        <w:br/>
        <w:t>тел. (342) 235-12-00, факс (342) 235-10-67</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е-таИ: 1о59@Газ.§оу.ги</w:t>
      </w:r>
    </w:p>
    <w:p>
      <w:pPr>
        <w:pStyle w:val="Style5"/>
        <w:keepNext w:val="0"/>
        <w:keepLines w:val="0"/>
        <w:widowControl w:val="0"/>
        <w:shd w:val="clear" w:color="auto" w:fill="auto"/>
        <w:bidi w:val="0"/>
        <w:spacing w:before="0" w:after="60"/>
        <w:ind w:left="0" w:right="0" w:firstLine="0"/>
        <w:jc w:val="center"/>
      </w:pPr>
      <w:r>
        <w:rPr>
          <w:spacing w:val="0"/>
          <w:w w:val="100"/>
          <w:position w:val="0"/>
          <w:shd w:val="clear" w:color="auto" w:fill="auto"/>
          <w:lang w:val="ru-RU" w:eastAsia="ru-RU" w:bidi="ru-RU"/>
        </w:rPr>
        <w:t>сайт: тс\с.регт.1гь.росте</w:t>
      </w:r>
    </w:p>
    <w:p>
      <w:pPr>
        <w:pStyle w:val="Style10"/>
        <w:keepNext/>
        <w:keepLines/>
        <w:widowControl w:val="0"/>
        <w:shd w:val="clear" w:color="auto" w:fill="auto"/>
        <w:tabs>
          <w:tab w:pos="1843" w:val="left"/>
          <w:tab w:pos="2558" w:val="left"/>
        </w:tabs>
        <w:bidi w:val="0"/>
        <w:spacing w:before="0" w:line="240" w:lineRule="auto"/>
        <w:ind w:left="0" w:right="0" w:firstLine="0"/>
        <w:jc w:val="center"/>
      </w:pPr>
      <w:r>
        <w:fldChar w:fldCharType="begin"/>
      </w:r>
      <w:r>
        <w:rPr/>
        <w:instrText> HYPERLINK "file://f207ca94-a13c-4ba0-b72d-f018c9eed8f1/" </w:instrText>
      </w:r>
      <w:r>
        <w:fldChar w:fldCharType="separate"/>
      </w:r>
      <w:bookmarkStart w:id="0" w:name="bookmark0"/>
      <w:r>
        <w:rPr>
          <w:color w:val="000000"/>
          <w:spacing w:val="0"/>
          <w:w w:val="100"/>
          <w:position w:val="0"/>
          <w:shd w:val="clear" w:color="auto" w:fill="auto"/>
          <w:lang w:val="ru-RU" w:eastAsia="ru-RU" w:bidi="ru-RU"/>
        </w:rPr>
        <w:t>26.09.2024</w:t>
      </w:r>
      <w:r>
        <w:fldChar w:fldCharType="end"/>
      </w:r>
      <w:r>
        <w:rPr>
          <w:color w:val="000000"/>
          <w:spacing w:val="0"/>
          <w:w w:val="100"/>
          <w:position w:val="0"/>
          <w:shd w:val="clear" w:color="auto" w:fill="auto"/>
          <w:lang w:val="ru-RU" w:eastAsia="ru-RU" w:bidi="ru-RU"/>
        </w:rPr>
        <w:tab/>
        <w:t>№</w:t>
        <w:tab/>
        <w:t>10185/24</w:t>
      </w:r>
      <w:bookmarkEnd w:id="0"/>
    </w:p>
    <w:p>
      <w:pPr>
        <w:pStyle w:val="Style8"/>
        <w:keepNext w:val="0"/>
        <w:keepLines w:val="0"/>
        <w:widowControl w:val="0"/>
        <w:shd w:val="clear" w:color="auto" w:fill="auto"/>
        <w:bidi w:val="0"/>
        <w:spacing w:before="0" w:after="0" w:line="264" w:lineRule="auto"/>
        <w:ind w:left="0" w:right="0" w:firstLine="0"/>
        <w:jc w:val="center"/>
        <w:rPr>
          <w:sz w:val="18"/>
          <w:szCs w:val="18"/>
        </w:rPr>
      </w:pPr>
      <w:r>
        <w:rPr>
          <w:b w:val="0"/>
          <w:bCs w:val="0"/>
          <w:spacing w:val="0"/>
          <w:w w:val="100"/>
          <w:position w:val="0"/>
          <w:sz w:val="18"/>
          <w:szCs w:val="18"/>
          <w:shd w:val="clear" w:color="auto" w:fill="auto"/>
          <w:lang w:val="ru-RU" w:eastAsia="ru-RU" w:bidi="ru-RU"/>
        </w:rPr>
        <w:t xml:space="preserve">На №  от</w:t>
      </w:r>
    </w:p>
    <w:p>
      <w:pPr>
        <w:pStyle w:val="Style13"/>
        <w:keepNext/>
        <w:keepLines/>
        <w:widowControl w:val="0"/>
        <w:shd w:val="clear" w:color="auto" w:fill="auto"/>
        <w:bidi w:val="0"/>
        <w:spacing w:before="0" w:after="0" w:line="240" w:lineRule="auto"/>
        <w:ind w:left="0" w:right="0" w:firstLine="0"/>
        <w:jc w:val="left"/>
      </w:pPr>
      <w:bookmarkStart w:id="2" w:name="bookmark2"/>
      <w:r>
        <w:rPr>
          <w:color w:val="000000"/>
          <w:spacing w:val="0"/>
          <w:w w:val="100"/>
          <w:position w:val="0"/>
          <w:sz w:val="24"/>
          <w:szCs w:val="24"/>
          <w:shd w:val="clear" w:color="auto" w:fill="auto"/>
          <w:lang w:val="ru-RU" w:eastAsia="ru-RU" w:bidi="ru-RU"/>
        </w:rPr>
        <w:t>ИП Бабкина Ф.С.</w:t>
      </w:r>
      <w:bookmarkEnd w:id="2"/>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618250, Пермский край, г. Губаха, ул.</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Суворова, д. 58, кв. 62</w:t>
      </w:r>
    </w:p>
    <w:p>
      <w:pPr>
        <w:pStyle w:val="Style15"/>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^рЬаЬк^па.Г8@та^1.^и</w:t>
      </w:r>
    </w:p>
    <w:p>
      <w:pPr>
        <w:pStyle w:val="Style13"/>
        <w:keepNext/>
        <w:keepLines/>
        <w:widowControl w:val="0"/>
        <w:shd w:val="clear" w:color="auto" w:fill="auto"/>
        <w:bidi w:val="0"/>
        <w:spacing w:before="0" w:after="0" w:line="240" w:lineRule="auto"/>
        <w:ind w:left="0" w:right="0" w:firstLine="0"/>
        <w:jc w:val="left"/>
      </w:pPr>
      <w:bookmarkStart w:id="4" w:name="bookmark4"/>
      <w:r>
        <w:rPr>
          <w:color w:val="000000"/>
          <w:spacing w:val="0"/>
          <w:w w:val="100"/>
          <w:position w:val="0"/>
          <w:sz w:val="24"/>
          <w:szCs w:val="24"/>
          <w:shd w:val="clear" w:color="auto" w:fill="auto"/>
          <w:lang w:val="ru-RU" w:eastAsia="ru-RU" w:bidi="ru-RU"/>
        </w:rPr>
        <w:t>ГКУ ПК «Центр организации закупок»</w:t>
      </w:r>
      <w:bookmarkEnd w:id="4"/>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614000, г. Пермь, ул. Петропавловская, д. 100</w:t>
      </w:r>
    </w:p>
    <w:p>
      <w:pPr>
        <w:pStyle w:val="Style15"/>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ипттта@сх.регткгаЁш</w:t>
      </w:r>
    </w:p>
    <w:p>
      <w:pPr>
        <w:pStyle w:val="Style13"/>
        <w:keepNext/>
        <w:keepLines/>
        <w:widowControl w:val="0"/>
        <w:shd w:val="clear" w:color="auto" w:fill="auto"/>
        <w:bidi w:val="0"/>
        <w:spacing w:before="0" w:after="0" w:line="240" w:lineRule="auto"/>
        <w:ind w:left="0" w:right="0" w:firstLine="0"/>
        <w:jc w:val="left"/>
      </w:pPr>
      <w:bookmarkStart w:id="6" w:name="bookmark6"/>
      <w:r>
        <w:rPr>
          <w:color w:val="000000"/>
          <w:spacing w:val="0"/>
          <w:w w:val="100"/>
          <w:position w:val="0"/>
          <w:sz w:val="24"/>
          <w:szCs w:val="24"/>
          <w:shd w:val="clear" w:color="auto" w:fill="auto"/>
          <w:lang w:val="ru-RU" w:eastAsia="ru-RU" w:bidi="ru-RU"/>
        </w:rPr>
        <w:t>АО «ТЭК-Торг»</w:t>
      </w:r>
      <w:bookmarkEnd w:id="6"/>
    </w:p>
    <w:p>
      <w:pPr>
        <w:pStyle w:val="Style15"/>
        <w:keepNext w:val="0"/>
        <w:keepLines w:val="0"/>
        <w:widowControl w:val="0"/>
        <w:shd w:val="clear" w:color="auto" w:fill="auto"/>
        <w:bidi w:val="0"/>
        <w:spacing w:before="0" w:after="0" w:line="240" w:lineRule="auto"/>
        <w:ind w:left="0" w:right="0" w:firstLine="0"/>
        <w:jc w:val="left"/>
        <w:sectPr>
          <w:footerReference w:type="default" r:id="rId7"/>
          <w:footerReference w:type="first" r:id="rId8"/>
          <w:footnotePr>
            <w:pos w:val="pageBottom"/>
            <w:numFmt w:val="decimal"/>
            <w:numRestart w:val="continuous"/>
          </w:footnotePr>
          <w:pgSz w:w="11900" w:h="16840"/>
          <w:pgMar w:top="284" w:right="810" w:bottom="1313" w:left="1140" w:header="0" w:footer="3" w:gutter="0"/>
          <w:pgNumType w:start="1"/>
          <w:cols w:num="2" w:space="720" w:equalWidth="0">
            <w:col w:w="4061" w:space="1205"/>
            <w:col w:w="4685"/>
          </w:cols>
          <w:noEndnote/>
          <w:titlePg/>
          <w:rtlGutter w:val="0"/>
          <w:docGrid w:linePitch="360"/>
        </w:sectPr>
      </w:pPr>
      <w:r>
        <w:rPr>
          <w:color w:val="000000"/>
          <w:spacing w:val="0"/>
          <w:w w:val="100"/>
          <w:position w:val="0"/>
          <w:sz w:val="24"/>
          <w:szCs w:val="24"/>
          <w:shd w:val="clear" w:color="auto" w:fill="auto"/>
          <w:lang w:val="ru-RU" w:eastAsia="ru-RU" w:bidi="ru-RU"/>
        </w:rPr>
        <w:t>Ье1р@1ек1огд.ги</w:t>
      </w:r>
    </w:p>
    <w:p>
      <w:pPr>
        <w:widowControl w:val="0"/>
        <w:spacing w:before="97" w:after="97"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54" w:right="0" w:bottom="1244" w:left="0" w:header="0" w:footer="3" w:gutter="0"/>
          <w:cols w:space="720"/>
          <w:noEndnote/>
          <w:rtlGutter w:val="0"/>
          <w:docGrid w:linePitch="360"/>
        </w:sectPr>
      </w:pPr>
    </w:p>
    <w:p>
      <w:pPr>
        <w:pStyle w:val="Style15"/>
        <w:keepNext w:val="0"/>
        <w:keepLines w:val="0"/>
        <w:widowControl w:val="0"/>
        <w:shd w:val="clear" w:color="auto" w:fill="auto"/>
        <w:bidi w:val="0"/>
        <w:spacing w:before="0" w:after="880" w:line="240" w:lineRule="auto"/>
        <w:ind w:left="0" w:right="0" w:firstLine="0"/>
        <w:jc w:val="both"/>
      </w:pPr>
      <w:r>
        <w:rPr>
          <w:color w:val="000000"/>
          <w:spacing w:val="0"/>
          <w:w w:val="100"/>
          <w:position w:val="0"/>
          <w:sz w:val="24"/>
          <w:szCs w:val="24"/>
          <w:shd w:val="clear" w:color="auto" w:fill="auto"/>
          <w:lang w:val="ru-RU" w:eastAsia="ru-RU" w:bidi="ru-RU"/>
        </w:rPr>
        <w:t>Решение</w:t>
      </w:r>
    </w:p>
    <w:p>
      <w:pPr>
        <w:pStyle w:val="Style13"/>
        <w:keepNext/>
        <w:keepLines/>
        <w:widowControl w:val="0"/>
        <w:shd w:val="clear" w:color="auto" w:fill="auto"/>
        <w:bidi w:val="0"/>
        <w:spacing w:before="0" w:after="0" w:line="240" w:lineRule="auto"/>
        <w:ind w:left="0" w:right="0" w:firstLine="0"/>
        <w:jc w:val="center"/>
      </w:pPr>
      <w:bookmarkStart w:id="8" w:name="bookmark8"/>
      <w:r>
        <w:rPr>
          <w:color w:val="000000"/>
          <w:spacing w:val="0"/>
          <w:w w:val="100"/>
          <w:position w:val="0"/>
          <w:sz w:val="24"/>
          <w:szCs w:val="24"/>
          <w:shd w:val="clear" w:color="auto" w:fill="auto"/>
          <w:lang w:val="ru-RU" w:eastAsia="ru-RU" w:bidi="ru-RU"/>
        </w:rPr>
        <w:t>РЕШЕНИЕ по делу № 059/06/105-1158/2024</w:t>
      </w:r>
      <w:bookmarkEnd w:id="8"/>
    </w:p>
    <w:p>
      <w:pPr>
        <w:pStyle w:val="Style15"/>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(жалоба ИП Бабкиной Ф.С., вх. № 13750/24 от 16.09.2024 г.)</w:t>
      </w:r>
    </w:p>
    <w:p>
      <w:pPr>
        <w:pStyle w:val="Style13"/>
        <w:keepNext/>
        <w:keepLines/>
        <w:widowControl w:val="0"/>
        <w:shd w:val="clear" w:color="auto" w:fill="auto"/>
        <w:tabs>
          <w:tab w:pos="9216" w:val="left"/>
        </w:tabs>
        <w:bidi w:val="0"/>
        <w:spacing w:before="0" w:after="0" w:line="240" w:lineRule="auto"/>
        <w:ind w:left="0" w:right="0" w:firstLine="0"/>
        <w:jc w:val="both"/>
      </w:pPr>
      <w:bookmarkStart w:id="10" w:name="bookmark10"/>
      <w:r>
        <w:rPr>
          <w:color w:val="000000"/>
          <w:spacing w:val="0"/>
          <w:w w:val="100"/>
          <w:position w:val="0"/>
          <w:sz w:val="24"/>
          <w:szCs w:val="24"/>
          <w:shd w:val="clear" w:color="auto" w:fill="auto"/>
          <w:lang w:val="ru-RU" w:eastAsia="ru-RU" w:bidi="ru-RU"/>
        </w:rPr>
        <w:t>23.09.2024 г.</w:t>
        <w:tab/>
        <w:t>г. Пермь</w:t>
      </w:r>
      <w:bookmarkEnd w:id="10"/>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Пермскому краю (далее - Комиссия) в составе:</w:t>
      </w:r>
    </w:p>
    <w:p>
      <w:pPr>
        <w:pStyle w:val="Style15"/>
        <w:keepNext w:val="0"/>
        <w:keepLines w:val="0"/>
        <w:widowControl w:val="0"/>
        <w:shd w:val="clear" w:color="auto" w:fill="auto"/>
        <w:bidi w:val="0"/>
        <w:spacing w:before="0" w:after="0" w:line="240" w:lineRule="auto"/>
        <w:ind w:left="720" w:right="0" w:firstLine="0"/>
        <w:jc w:val="both"/>
      </w:pPr>
      <w:r>
        <w:rPr>
          <w:b/>
          <w:bCs/>
          <w:color w:val="000000"/>
          <w:spacing w:val="0"/>
          <w:w w:val="100"/>
          <w:position w:val="0"/>
          <w:sz w:val="24"/>
          <w:szCs w:val="24"/>
          <w:shd w:val="clear" w:color="auto" w:fill="auto"/>
          <w:lang w:val="ru-RU" w:eastAsia="ru-RU" w:bidi="ru-RU"/>
        </w:rPr>
        <w:t xml:space="preserve">Председатель Комиссии - Субботина Е.С., </w:t>
      </w:r>
      <w:r>
        <w:rPr>
          <w:color w:val="000000"/>
          <w:spacing w:val="0"/>
          <w:w w:val="100"/>
          <w:position w:val="0"/>
          <w:sz w:val="24"/>
          <w:szCs w:val="24"/>
          <w:shd w:val="clear" w:color="auto" w:fill="auto"/>
          <w:lang w:val="ru-RU" w:eastAsia="ru-RU" w:bidi="ru-RU"/>
        </w:rPr>
        <w:t xml:space="preserve">начальник отдела контроля закупок, </w:t>
      </w:r>
      <w:r>
        <w:rPr>
          <w:b/>
          <w:bCs/>
          <w:color w:val="000000"/>
          <w:spacing w:val="0"/>
          <w:w w:val="100"/>
          <w:position w:val="0"/>
          <w:sz w:val="24"/>
          <w:szCs w:val="24"/>
          <w:shd w:val="clear" w:color="auto" w:fill="auto"/>
          <w:lang w:val="ru-RU" w:eastAsia="ru-RU" w:bidi="ru-RU"/>
        </w:rPr>
        <w:t>члены комиссии:</w:t>
      </w:r>
    </w:p>
    <w:p>
      <w:pPr>
        <w:pStyle w:val="Style15"/>
        <w:keepNext w:val="0"/>
        <w:keepLines w:val="0"/>
        <w:widowControl w:val="0"/>
        <w:numPr>
          <w:ilvl w:val="0"/>
          <w:numId w:val="1"/>
        </w:numPr>
        <w:shd w:val="clear" w:color="auto" w:fill="auto"/>
        <w:tabs>
          <w:tab w:pos="987" w:val="left"/>
        </w:tabs>
        <w:bidi w:val="0"/>
        <w:spacing w:before="0" w:after="0" w:line="240" w:lineRule="auto"/>
        <w:ind w:left="720" w:right="0" w:firstLine="0"/>
        <w:jc w:val="both"/>
      </w:pPr>
      <w:r>
        <w:rPr>
          <w:b/>
          <w:bCs/>
          <w:color w:val="000000"/>
          <w:spacing w:val="0"/>
          <w:w w:val="100"/>
          <w:position w:val="0"/>
          <w:sz w:val="24"/>
          <w:szCs w:val="24"/>
          <w:shd w:val="clear" w:color="auto" w:fill="auto"/>
          <w:lang w:val="ru-RU" w:eastAsia="ru-RU" w:bidi="ru-RU"/>
        </w:rPr>
        <w:t xml:space="preserve">Качин М.Е., </w:t>
      </w:r>
      <w:r>
        <w:rPr>
          <w:color w:val="000000"/>
          <w:spacing w:val="0"/>
          <w:w w:val="100"/>
          <w:position w:val="0"/>
          <w:sz w:val="24"/>
          <w:szCs w:val="24"/>
          <w:shd w:val="clear" w:color="auto" w:fill="auto"/>
          <w:lang w:val="ru-RU" w:eastAsia="ru-RU" w:bidi="ru-RU"/>
        </w:rPr>
        <w:t>ведущий специалист-эксперт отдела контроля закупок,</w:t>
      </w:r>
    </w:p>
    <w:p>
      <w:pPr>
        <w:pStyle w:val="Style15"/>
        <w:keepNext w:val="0"/>
        <w:keepLines w:val="0"/>
        <w:widowControl w:val="0"/>
        <w:numPr>
          <w:ilvl w:val="0"/>
          <w:numId w:val="1"/>
        </w:numPr>
        <w:shd w:val="clear" w:color="auto" w:fill="auto"/>
        <w:tabs>
          <w:tab w:pos="978" w:val="left"/>
        </w:tabs>
        <w:bidi w:val="0"/>
        <w:spacing w:before="0" w:after="0" w:line="240" w:lineRule="auto"/>
        <w:ind w:left="720" w:right="0" w:firstLine="0"/>
        <w:jc w:val="both"/>
      </w:pPr>
      <w:r>
        <w:rPr>
          <w:b/>
          <w:bCs/>
          <w:color w:val="000000"/>
          <w:spacing w:val="0"/>
          <w:w w:val="100"/>
          <w:position w:val="0"/>
          <w:sz w:val="24"/>
          <w:szCs w:val="24"/>
          <w:shd w:val="clear" w:color="auto" w:fill="auto"/>
          <w:lang w:val="ru-RU" w:eastAsia="ru-RU" w:bidi="ru-RU"/>
        </w:rPr>
        <w:t xml:space="preserve">Журавлев М.А., </w:t>
      </w:r>
      <w:r>
        <w:rPr>
          <w:color w:val="000000"/>
          <w:spacing w:val="0"/>
          <w:w w:val="100"/>
          <w:position w:val="0"/>
          <w:sz w:val="24"/>
          <w:szCs w:val="24"/>
          <w:shd w:val="clear" w:color="auto" w:fill="auto"/>
          <w:lang w:val="ru-RU" w:eastAsia="ru-RU" w:bidi="ru-RU"/>
        </w:rPr>
        <w:t>ведущий специалист-эксперт отдела контроля закупок,</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 участии посредством ВКС: представителя ГКУ ПК «Центр организации закупок» - Филимоновой П.А. (на основании доверенности),</w:t>
      </w:r>
    </w:p>
    <w:p>
      <w:pPr>
        <w:pStyle w:val="Style15"/>
        <w:keepNext w:val="0"/>
        <w:keepLines w:val="0"/>
        <w:widowControl w:val="0"/>
        <w:numPr>
          <w:ilvl w:val="0"/>
          <w:numId w:val="1"/>
        </w:numPr>
        <w:shd w:val="clear" w:color="auto" w:fill="auto"/>
        <w:tabs>
          <w:tab w:pos="101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отсутствие ИП Бабкиной Ф.С. или её представителя (извещены надлежащим образом),</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рассмотрев жалобу ИП Бабкина Ф.С. (далее - Заявитель) на действия ГКУ ПК «Центр организации закупок» (далее - Уполномоченное учреждение) при проведении открытого конкурса в электронной форме на оказание услуг по организации бесплатного горячего питания обучающихся из малоимущих, многодетных малоимущих семей, обучающихся, получающих начальное общее образование в муниципальных образовательных учреждениях (изв.№ 0356500001424005519),</w:t>
      </w:r>
    </w:p>
    <w:p>
      <w:pPr>
        <w:pStyle w:val="Style13"/>
        <w:keepNext/>
        <w:keepLines/>
        <w:widowControl w:val="0"/>
        <w:shd w:val="clear" w:color="auto" w:fill="auto"/>
        <w:bidi w:val="0"/>
        <w:spacing w:before="0" w:after="0" w:line="240" w:lineRule="auto"/>
        <w:ind w:left="0" w:right="0" w:firstLine="0"/>
        <w:jc w:val="center"/>
      </w:pPr>
      <w:bookmarkStart w:id="12" w:name="bookmark12"/>
      <w:r>
        <w:rPr>
          <w:color w:val="000000"/>
          <w:spacing w:val="0"/>
          <w:w w:val="100"/>
          <w:position w:val="0"/>
          <w:sz w:val="24"/>
          <w:szCs w:val="24"/>
          <w:shd w:val="clear" w:color="auto" w:fill="auto"/>
          <w:lang w:val="ru-RU" w:eastAsia="ru-RU" w:bidi="ru-RU"/>
        </w:rPr>
        <w:t>УСТАНОВИЛА:</w:t>
      </w:r>
      <w:bookmarkEnd w:id="12"/>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Заявитель полагает, что нормы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 нарушены действиями Уполномоченного учреждения.</w:t>
      </w:r>
    </w:p>
    <w:p>
      <w:pPr>
        <w:pStyle w:val="Style15"/>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z w:val="24"/>
          <w:szCs w:val="24"/>
          <w:shd w:val="clear" w:color="auto" w:fill="auto"/>
          <w:lang w:val="ru-RU" w:eastAsia="ru-RU" w:bidi="ru-RU"/>
        </w:rPr>
        <w:t>В ходе рассмотрения жалобы и в ходе проведения внеплановой проверки, осуществленной Комиссией Пермского УФАС России в соответствии с ч. 3 ст. 99 Закона о закупках установлено следующее.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извещению № 0356500001424005519 Уполномоченным учреждением проводился открытый конкурс в электронной форме на оказание услуг по организации бесплатного горячего питания обучающихся из малоимущих, многодетных малоимущих семей, обучающихся, получающих начальное общее образование в муниципальных образовательных учреждениях.</w:t>
      </w:r>
    </w:p>
    <w:p>
      <w:pPr>
        <w:widowControl w:val="0"/>
        <w:spacing w:line="1" w:lineRule="exact"/>
      </w:pPr>
      <w:r>
        <w:drawing>
          <wp:anchor distT="0" distB="0" distL="0" distR="0" simplePos="0" relativeHeight="125829378" behindDoc="0" locked="0" layoutInCell="1" allowOverlap="1">
            <wp:simplePos x="0" y="0"/>
            <wp:positionH relativeFrom="page">
              <wp:posOffset>714375</wp:posOffset>
            </wp:positionH>
            <wp:positionV relativeFrom="paragraph">
              <wp:posOffset>0</wp:posOffset>
            </wp:positionV>
            <wp:extent cx="1517650" cy="292735"/>
            <wp:wrapTopAndBottom/>
            <wp:docPr id="6" name="Shape 6"/>
            <a:graphic xmlns:a="http://schemas.openxmlformats.org/drawingml/2006/main">
              <a:graphicData uri="http://schemas.openxmlformats.org/drawingml/2006/picture">
                <pic:pic xmlns:pic="http://schemas.openxmlformats.org/drawingml/2006/picture">
                  <pic:nvPicPr>
                    <pic:cNvPr id="7" name="Picture box 7"/>
                    <pic:cNvPicPr/>
                  </pic:nvPicPr>
                  <pic:blipFill>
                    <a:blip r:embed="rId9"/>
                    <a:stretch/>
                  </pic:blipFill>
                  <pic:spPr>
                    <a:xfrm>
                      <a:ext cx="1517650" cy="292735"/>
                    </a:xfrm>
                    <a:prstGeom prst="rect"/>
                  </pic:spPr>
                </pic:pic>
              </a:graphicData>
            </a:graphic>
          </wp:anchor>
        </w:drawing>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извещением о проведении открытого конкурса в электронной форме:</w:t>
      </w:r>
    </w:p>
    <w:p>
      <w:pPr>
        <w:pStyle w:val="Style15"/>
        <w:keepNext w:val="0"/>
        <w:keepLines w:val="0"/>
        <w:widowControl w:val="0"/>
        <w:numPr>
          <w:ilvl w:val="0"/>
          <w:numId w:val="3"/>
        </w:numPr>
        <w:shd w:val="clear" w:color="auto" w:fill="auto"/>
        <w:tabs>
          <w:tab w:pos="1051"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извещение о проведении открытого конкурса в электронной форме размещено в единой информационной системе в сфере закупок \\л\л\-.хакирк1.до\'.ги (далее - ЕИС) - 29.09.2024 г.</w:t>
      </w:r>
    </w:p>
    <w:p>
      <w:pPr>
        <w:pStyle w:val="Style15"/>
        <w:keepNext w:val="0"/>
        <w:keepLines w:val="0"/>
        <w:widowControl w:val="0"/>
        <w:numPr>
          <w:ilvl w:val="0"/>
          <w:numId w:val="3"/>
        </w:numPr>
        <w:shd w:val="clear" w:color="auto" w:fill="auto"/>
        <w:tabs>
          <w:tab w:pos="173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способ определения поставщика (подрядчика, исполнителя) - Конкурс;</w:t>
      </w:r>
    </w:p>
    <w:p>
      <w:pPr>
        <w:pStyle w:val="Style15"/>
        <w:keepNext w:val="0"/>
        <w:keepLines w:val="0"/>
        <w:widowControl w:val="0"/>
        <w:numPr>
          <w:ilvl w:val="0"/>
          <w:numId w:val="3"/>
        </w:numPr>
        <w:shd w:val="clear" w:color="auto" w:fill="auto"/>
        <w:tabs>
          <w:tab w:pos="173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начальная максимальная цена контракта - 11 950 489,70 руб.;</w:t>
      </w:r>
    </w:p>
    <w:p>
      <w:pPr>
        <w:pStyle w:val="Style15"/>
        <w:keepNext w:val="0"/>
        <w:keepLines w:val="0"/>
        <w:widowControl w:val="0"/>
        <w:numPr>
          <w:ilvl w:val="0"/>
          <w:numId w:val="3"/>
        </w:numPr>
        <w:shd w:val="clear" w:color="auto" w:fill="auto"/>
        <w:tabs>
          <w:tab w:pos="173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дата окончания подачи заявок - 16.09.2024 г.</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Заявитель полагает, что установленный предмет контракта, принимаемый к оценке по критерию «Квалификация участников закупки» не является сопоставимым с объектом закупки. Так, в жалобе Заявитель указывает, что услуги в общеобразовательном учреждении оказываются в соответствии с требованиями СанПиН 2.3/2.4.3590-20, меню должно быть составлено с учетом сезонности, необходимого количества основных веществ и требуемой калорийности суточного рациона, дифференцированного по возрастным группам обучающихся на период не менее 2-х недель (меню должно быть сбалансировано по белкам, жирам, углеводам, блюда не должны повторяться). Если в образовательном учреждении есть дети, нуждающиеся в лечебном и диетическом питании, то для них составляется индивидуальное меню с учетом требований СанПиН. В приложением № 6 к СанПиН 2.3/2.4.3590-20 установлен перечень пищевой продукции, которая не допускается при организации питания детей.</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письменных пояснениях, а также в ходе заседания Комиссии, представитель Уполномоченного учреждения указал, что согласно позиции Верховного суда РФ, положения постановления Правительства РФ № 2604 не ограничивают возможность заказчика установить требование к предмету представляемых участниками закупки договоров таким образом, чтобы их предмет наиболее соответствовал предмету контракта, заключаемого по результатам определения поставщика (подрядчика, исполнителя). Такое требование извещения о предмете оцениваемых договоров, наиболее близком к предмету контракта, заключаемого по результатам определения подрядчика, исключающее договоры, не соответствующие объекту закупки, не противоречит требованиям законодательства о контрактной системе (Определение Верховного Суда РФ от 12.04.2023 № 301-ЭС23-3442 по делу № А28-4980/2022). К оценке принимается исключительно исполненный договор, предусматривающий оказание услуг по организации питания. Установленные критерии и порядок оценки конкурсных заявок не препятствуют участию в конкурсе, не создают преимуществ конкретному участнику, а направлены на определение победителя данного конкурса, который наиболее соответствует потребностям заказчика. Также согласно извещению, описание объекта закупки содержится в приложении к извещению, в Техническом задании, содержащем следующие положения о том, каким требованиям должны соответствовать оказываемые услуги:</w:t>
      </w:r>
    </w:p>
    <w:p>
      <w:pPr>
        <w:pStyle w:val="Style15"/>
        <w:keepNext w:val="0"/>
        <w:keepLines w:val="0"/>
        <w:widowControl w:val="0"/>
        <w:numPr>
          <w:ilvl w:val="0"/>
          <w:numId w:val="5"/>
        </w:numPr>
        <w:shd w:val="clear" w:color="auto" w:fill="auto"/>
        <w:tabs>
          <w:tab w:pos="1009"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Технический регламент Таможенного союза «О безопасности отдельных видов специализированной пищевой продукции, в том числе диетического лечебного и диетического профилактического питания» (ТР ТС 027/2012);</w:t>
      </w:r>
    </w:p>
    <w:p>
      <w:pPr>
        <w:pStyle w:val="Style15"/>
        <w:keepNext w:val="0"/>
        <w:keepLines w:val="0"/>
        <w:widowControl w:val="0"/>
        <w:numPr>
          <w:ilvl w:val="0"/>
          <w:numId w:val="5"/>
        </w:numPr>
        <w:shd w:val="clear" w:color="auto" w:fill="auto"/>
        <w:tabs>
          <w:tab w:pos="1009"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Технический регламент Таможенного союза «Пищевая продукция в части ее маркировки» (ТР ТС 022/2011);</w:t>
      </w:r>
    </w:p>
    <w:p>
      <w:pPr>
        <w:pStyle w:val="Style15"/>
        <w:keepNext w:val="0"/>
        <w:keepLines w:val="0"/>
        <w:widowControl w:val="0"/>
        <w:numPr>
          <w:ilvl w:val="0"/>
          <w:numId w:val="5"/>
        </w:numPr>
        <w:shd w:val="clear" w:color="auto" w:fill="auto"/>
        <w:tabs>
          <w:tab w:pos="1009"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Технический регламент Таможенного союза «О безопасности пищевой продукции» (ТР ТС 021/2011);</w:t>
      </w:r>
    </w:p>
    <w:p>
      <w:pPr>
        <w:pStyle w:val="Style15"/>
        <w:keepNext w:val="0"/>
        <w:keepLines w:val="0"/>
        <w:widowControl w:val="0"/>
        <w:numPr>
          <w:ilvl w:val="0"/>
          <w:numId w:val="5"/>
        </w:numPr>
        <w:shd w:val="clear" w:color="auto" w:fill="auto"/>
        <w:tabs>
          <w:tab w:pos="173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Технический регламент Таможенного союза «О безопасности упаковки» (ТР ТС 005/2011);</w:t>
      </w:r>
    </w:p>
    <w:p>
      <w:pPr>
        <w:pStyle w:val="Style15"/>
        <w:keepNext w:val="0"/>
        <w:keepLines w:val="0"/>
        <w:widowControl w:val="0"/>
        <w:numPr>
          <w:ilvl w:val="0"/>
          <w:numId w:val="5"/>
        </w:numPr>
        <w:shd w:val="clear" w:color="auto" w:fill="auto"/>
        <w:tabs>
          <w:tab w:pos="1009"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Решение комиссии Таможенного союза от 28 мая 2010 г. № 299 «О применении санитарных мер в Евразийском экономическом союзе»;</w:t>
      </w:r>
    </w:p>
    <w:p>
      <w:pPr>
        <w:pStyle w:val="Style15"/>
        <w:keepNext w:val="0"/>
        <w:keepLines w:val="0"/>
        <w:widowControl w:val="0"/>
        <w:numPr>
          <w:ilvl w:val="0"/>
          <w:numId w:val="5"/>
        </w:numPr>
        <w:shd w:val="clear" w:color="auto" w:fill="auto"/>
        <w:tabs>
          <w:tab w:pos="1009"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Федеральный закон от 29 декабря 2012 г. № 273-ФЗ «Об образовании в Российской Федерации»;</w:t>
      </w:r>
    </w:p>
    <w:p>
      <w:pPr>
        <w:pStyle w:val="Style15"/>
        <w:keepNext w:val="0"/>
        <w:keepLines w:val="0"/>
        <w:widowControl w:val="0"/>
        <w:numPr>
          <w:ilvl w:val="0"/>
          <w:numId w:val="5"/>
        </w:numPr>
        <w:shd w:val="clear" w:color="auto" w:fill="auto"/>
        <w:tabs>
          <w:tab w:pos="1009"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Федеральный закон от 30 марта 1999 г. № 52-ФЗ «О санитарно-эпидемиологическом благополучии населения»;</w:t>
      </w:r>
    </w:p>
    <w:p>
      <w:pPr>
        <w:pStyle w:val="Style15"/>
        <w:keepNext w:val="0"/>
        <w:keepLines w:val="0"/>
        <w:widowControl w:val="0"/>
        <w:numPr>
          <w:ilvl w:val="0"/>
          <w:numId w:val="5"/>
        </w:numPr>
        <w:shd w:val="clear" w:color="auto" w:fill="auto"/>
        <w:tabs>
          <w:tab w:pos="1009"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Федеральный закон от 02 января 2000 г. № 29-ФЗ «О качестве и безопасности пищевых продуктов» и другие;</w:t>
      </w:r>
    </w:p>
    <w:p>
      <w:pPr>
        <w:pStyle w:val="Style15"/>
        <w:keepNext w:val="0"/>
        <w:keepLines w:val="0"/>
        <w:widowControl w:val="0"/>
        <w:numPr>
          <w:ilvl w:val="0"/>
          <w:numId w:val="5"/>
        </w:numPr>
        <w:shd w:val="clear" w:color="auto" w:fill="auto"/>
        <w:tabs>
          <w:tab w:pos="173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 т.д.</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Таким образом, исполнитель должен обеспечить соблюдение требований, установленных </w:t>
      </w:r>
      <w:r>
        <w:rPr>
          <w:color w:val="000000"/>
          <w:spacing w:val="0"/>
          <w:w w:val="100"/>
          <w:position w:val="0"/>
          <w:sz w:val="24"/>
          <w:szCs w:val="24"/>
          <w:shd w:val="clear" w:color="auto" w:fill="auto"/>
          <w:lang w:val="ru-RU" w:eastAsia="ru-RU" w:bidi="ru-RU"/>
        </w:rPr>
        <w:t>действующим законодательством Российской Федерации, регулирующим порядок оказания данного вида услуг.</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 1 ч. 2 ст. 42 Закона о закупках извещение об осуществлении закупки, если иное не предусмотрено Закона о закупках, должно содержать описание объекта закупки в соответствии со ст. 33 Закона о закупках.</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силу с п. 1, 2 ч. 1 ст. 33 Закона о закупках заказчик при описании в документации о закупке объекта закупки должен руководствоваться следующими правилами:</w:t>
      </w:r>
    </w:p>
    <w:p>
      <w:pPr>
        <w:pStyle w:val="Style15"/>
        <w:keepNext w:val="0"/>
        <w:keepLines w:val="0"/>
        <w:widowControl w:val="0"/>
        <w:numPr>
          <w:ilvl w:val="0"/>
          <w:numId w:val="7"/>
        </w:numPr>
        <w:shd w:val="clear" w:color="auto" w:fill="auto"/>
        <w:tabs>
          <w:tab w:pos="103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5"/>
        <w:keepNext w:val="0"/>
        <w:keepLines w:val="0"/>
        <w:widowControl w:val="0"/>
        <w:numPr>
          <w:ilvl w:val="0"/>
          <w:numId w:val="9"/>
        </w:numPr>
        <w:shd w:val="clear" w:color="auto" w:fill="auto"/>
        <w:tabs>
          <w:tab w:pos="102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сопровождение такого указания словами «или эквивалент»;</w:t>
      </w:r>
    </w:p>
    <w:p>
      <w:pPr>
        <w:pStyle w:val="Style15"/>
        <w:keepNext w:val="0"/>
        <w:keepLines w:val="0"/>
        <w:widowControl w:val="0"/>
        <w:numPr>
          <w:ilvl w:val="0"/>
          <w:numId w:val="9"/>
        </w:numPr>
        <w:shd w:val="clear" w:color="auto" w:fill="auto"/>
        <w:tabs>
          <w:tab w:pos="104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5"/>
        <w:keepNext w:val="0"/>
        <w:keepLines w:val="0"/>
        <w:widowControl w:val="0"/>
        <w:numPr>
          <w:ilvl w:val="0"/>
          <w:numId w:val="9"/>
        </w:numPr>
        <w:shd w:val="clear" w:color="auto" w:fill="auto"/>
        <w:tabs>
          <w:tab w:pos="103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5"/>
        <w:keepNext w:val="0"/>
        <w:keepLines w:val="0"/>
        <w:widowControl w:val="0"/>
        <w:numPr>
          <w:ilvl w:val="0"/>
          <w:numId w:val="9"/>
        </w:numPr>
        <w:shd w:val="clear" w:color="auto" w:fill="auto"/>
        <w:tabs>
          <w:tab w:pos="101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5"/>
        <w:keepNext w:val="0"/>
        <w:keepLines w:val="0"/>
        <w:widowControl w:val="0"/>
        <w:numPr>
          <w:ilvl w:val="0"/>
          <w:numId w:val="7"/>
        </w:numPr>
        <w:shd w:val="clear" w:color="auto" w:fill="auto"/>
        <w:tabs>
          <w:tab w:pos="104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Согласно п. 2 ч. 1 ст. 33 Закона о закупках заказчик при описании в документации о закупке объекта закупки должен использовать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w:t>
      </w:r>
      <w:r>
        <w:rPr>
          <w:color w:val="000000"/>
          <w:spacing w:val="0"/>
          <w:w w:val="100"/>
          <w:position w:val="0"/>
          <w:sz w:val="24"/>
          <w:szCs w:val="24"/>
          <w:shd w:val="clear" w:color="auto" w:fill="auto"/>
          <w:lang w:val="ru-RU" w:eastAsia="ru-RU" w:bidi="ru-RU"/>
        </w:rPr>
        <w:t>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силу ч. 2 ст. 33 Закона о закупках описание объекта закупки в соответствии с требованиями, указанными в ч. 1 ст. 33 Закона о закупках,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 11 ч. 1 ст. 42 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закупках.</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 4 ч. 2 ст. 43 Закона о закупках извещение об осуществлении закупки, если иное не предусмотрено Законом о закупках, должно содержать порядок рассмотрения и оценки заявок на участие в конкурсах в соответствии с Законом о закупках.</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ч. 4 ст. 32 Закона о закупках в извещении об осуществлении закупки, документации о закупке (в случае, если Законом о закупках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Законом о закупках предусмотрена документация о закупке) критерии и их величины значимости не могут применяться для целей оценки заявок.</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ч. 5 ст. 32 Закона о закупках сумма величин значимости всех используемых критериев составляет сто процентов. Величина значимости критерия, указанного в п. 2 ч. 1 ст. 32 Закона о закупках, не должна превышать величину значимости критерия, указанного в п. 1 ч. 1 ст. 32 Закона о закупках.</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Частью 8 ст. 32 Закона о закупках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 1 и 2 ч. 1 ст. 32 Закона о закупках.</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Такой порядок установлен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20.12.2021 г. № 2369 и признании утратившими силу некоторых актов и отдельных положений некоторых актов Правительства Российской Федерации» (далее - Ш1 РФ № 2604).</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п. 1 ПП РФ № 2604 указано, что ПП РФ № 2604 устанавливает порядок оценки заявок на участие в закупке товаров, работ, услуг для обеспечения государственных и муниципальных нужд (далее соответственно - закупка, заявки), предельные величины значимости критериев оценки заявок, а также требования к форме документа, предусмотренного п. 4 ч. 2 ст. 42 Закона о закупках, согласно приложению № 1.</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 2 ПП РФ № 2604: оценка заявок - действия членов комиссии по осуществлению закупок по присвоению в случаях, предусмотренных Законом о закупках, и в соответствии с ПП РФ № 2604 баллов заявкам (частям заявок) на основании информации и документов участников закупок.</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 3 ПП РФ № 2604 для оценки заявок в соответствии с ПП РФ № 2604 применяются следующие критерии оценки:</w:t>
      </w:r>
    </w:p>
    <w:p>
      <w:pPr>
        <w:pStyle w:val="Style15"/>
        <w:keepNext w:val="0"/>
        <w:keepLines w:val="0"/>
        <w:widowControl w:val="0"/>
        <w:numPr>
          <w:ilvl w:val="0"/>
          <w:numId w:val="11"/>
        </w:numPr>
        <w:shd w:val="clear" w:color="auto" w:fill="auto"/>
        <w:tabs>
          <w:tab w:pos="110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цена контракта, сумма цен единиц товара, работы, услуги;</w:t>
      </w:r>
    </w:p>
    <w:p>
      <w:pPr>
        <w:pStyle w:val="Style15"/>
        <w:keepNext w:val="0"/>
        <w:keepLines w:val="0"/>
        <w:widowControl w:val="0"/>
        <w:numPr>
          <w:ilvl w:val="0"/>
          <w:numId w:val="11"/>
        </w:numPr>
        <w:shd w:val="clear" w:color="auto" w:fill="auto"/>
        <w:tabs>
          <w:tab w:pos="112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расходы;</w:t>
      </w:r>
    </w:p>
    <w:p>
      <w:pPr>
        <w:pStyle w:val="Style15"/>
        <w:keepNext w:val="0"/>
        <w:keepLines w:val="0"/>
        <w:widowControl w:val="0"/>
        <w:numPr>
          <w:ilvl w:val="0"/>
          <w:numId w:val="11"/>
        </w:numPr>
        <w:shd w:val="clear" w:color="auto" w:fill="auto"/>
        <w:tabs>
          <w:tab w:pos="111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характеристики объекта закупки;</w:t>
      </w:r>
    </w:p>
    <w:p>
      <w:pPr>
        <w:pStyle w:val="Style15"/>
        <w:keepNext w:val="0"/>
        <w:keepLines w:val="0"/>
        <w:widowControl w:val="0"/>
        <w:numPr>
          <w:ilvl w:val="0"/>
          <w:numId w:val="11"/>
        </w:numPr>
        <w:shd w:val="clear" w:color="auto" w:fill="auto"/>
        <w:tabs>
          <w:tab w:pos="1103"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квалификация участников закупки.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 5 ПП РФ № 2604 при проведении конкурсов:</w:t>
      </w:r>
    </w:p>
    <w:p>
      <w:pPr>
        <w:pStyle w:val="Style15"/>
        <w:keepNext w:val="0"/>
        <w:keepLines w:val="0"/>
        <w:widowControl w:val="0"/>
        <w:numPr>
          <w:ilvl w:val="0"/>
          <w:numId w:val="13"/>
        </w:numPr>
        <w:shd w:val="clear" w:color="auto" w:fill="auto"/>
        <w:tabs>
          <w:tab w:pos="109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 учетом настоящего ПП РФ № 2604 применяются не менее 2 критериев оценки, одним из которых должен являться критерий оценки, предусмотренный пп «а» п. 3 ПП РФ № 2604;</w:t>
      </w:r>
    </w:p>
    <w:p>
      <w:pPr>
        <w:pStyle w:val="Style15"/>
        <w:keepNext w:val="0"/>
        <w:keepLines w:val="0"/>
        <w:widowControl w:val="0"/>
        <w:numPr>
          <w:ilvl w:val="0"/>
          <w:numId w:val="13"/>
        </w:numPr>
        <w:shd w:val="clear" w:color="auto" w:fill="auto"/>
        <w:tabs>
          <w:tab w:pos="111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критерии оценки, предусмотренные подпунктами «а» и «б» п. 3 ПП РФ № 2604, могут не применяться при осуществлении закупок товаров, работ, услуг, в отношении которых в соответствии с законодательством Российской Федерации установлены регулируемые цены (тарифы);</w:t>
      </w:r>
    </w:p>
    <w:p>
      <w:pPr>
        <w:pStyle w:val="Style15"/>
        <w:keepNext w:val="0"/>
        <w:keepLines w:val="0"/>
        <w:widowControl w:val="0"/>
        <w:numPr>
          <w:ilvl w:val="0"/>
          <w:numId w:val="13"/>
        </w:numPr>
        <w:shd w:val="clear" w:color="auto" w:fill="auto"/>
        <w:tabs>
          <w:tab w:pos="110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значимость критерия оценки определяется с учетом настоящего ПП РФ № 2604 и предельных величин значимости критериев оценки согласно приложению № 2;</w:t>
      </w:r>
    </w:p>
    <w:p>
      <w:pPr>
        <w:pStyle w:val="Style15"/>
        <w:keepNext w:val="0"/>
        <w:keepLines w:val="0"/>
        <w:widowControl w:val="0"/>
        <w:numPr>
          <w:ilvl w:val="0"/>
          <w:numId w:val="13"/>
        </w:numPr>
        <w:shd w:val="clear" w:color="auto" w:fill="auto"/>
        <w:tabs>
          <w:tab w:pos="108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величина значимости критерия оценки, предусмотренного подпунктом «б» п. 3 ПП РФ № 2604, не должна превышать величину значимости критерия оценки, указанного в подпункте «а» п. 3 ПП РФ № 2604;</w:t>
      </w:r>
    </w:p>
    <w:p>
      <w:pPr>
        <w:pStyle w:val="Style15"/>
        <w:keepNext w:val="0"/>
        <w:keepLines w:val="0"/>
        <w:widowControl w:val="0"/>
        <w:numPr>
          <w:ilvl w:val="0"/>
          <w:numId w:val="13"/>
        </w:numPr>
        <w:shd w:val="clear" w:color="auto" w:fill="auto"/>
        <w:tabs>
          <w:tab w:pos="1796"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сумма величин значимости критериев оценки составляет 100 процентов;</w:t>
      </w:r>
    </w:p>
    <w:p>
      <w:pPr>
        <w:pStyle w:val="Style15"/>
        <w:keepNext w:val="0"/>
        <w:keepLines w:val="0"/>
        <w:widowControl w:val="0"/>
        <w:numPr>
          <w:ilvl w:val="0"/>
          <w:numId w:val="13"/>
        </w:numPr>
        <w:shd w:val="clear" w:color="auto" w:fill="auto"/>
        <w:tabs>
          <w:tab w:pos="109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документ, предусмотренный приложением № 1 к ПП РФ № 2604, формируется в соответствии с требованиями ПП РФ № 2604.</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силу п. 24 ПП РФ № 2604 для оценки заявок по критерию оценки «квалификация участников закупки» могут применяться, если иное не предусмотрено ПП РФ № 2604, один или несколько из следующих показателей оценки:</w:t>
      </w:r>
    </w:p>
    <w:p>
      <w:pPr>
        <w:pStyle w:val="Style15"/>
        <w:keepNext w:val="0"/>
        <w:keepLines w:val="0"/>
        <w:widowControl w:val="0"/>
        <w:numPr>
          <w:ilvl w:val="0"/>
          <w:numId w:val="15"/>
        </w:numPr>
        <w:shd w:val="clear" w:color="auto" w:fill="auto"/>
        <w:tabs>
          <w:tab w:pos="110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наличие у участников закупки финансовых ресурсов;</w:t>
      </w:r>
    </w:p>
    <w:p>
      <w:pPr>
        <w:pStyle w:val="Style15"/>
        <w:keepNext w:val="0"/>
        <w:keepLines w:val="0"/>
        <w:widowControl w:val="0"/>
        <w:numPr>
          <w:ilvl w:val="0"/>
          <w:numId w:val="15"/>
        </w:numPr>
        <w:shd w:val="clear" w:color="auto" w:fill="auto"/>
        <w:tabs>
          <w:tab w:pos="111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наличие у участников закупки на праве собственности или ином законном основании оборудования и других материальных ресурсов;</w:t>
      </w:r>
    </w:p>
    <w:p>
      <w:pPr>
        <w:pStyle w:val="Style15"/>
        <w:keepNext w:val="0"/>
        <w:keepLines w:val="0"/>
        <w:widowControl w:val="0"/>
        <w:numPr>
          <w:ilvl w:val="0"/>
          <w:numId w:val="15"/>
        </w:numPr>
        <w:shd w:val="clear" w:color="auto" w:fill="auto"/>
        <w:tabs>
          <w:tab w:pos="1107"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наличие у участников закупки опыта поставки товара, выполнения работы, оказания услуги, связанного с предметом контракта;</w:t>
      </w:r>
    </w:p>
    <w:p>
      <w:pPr>
        <w:pStyle w:val="Style15"/>
        <w:keepNext w:val="0"/>
        <w:keepLines w:val="0"/>
        <w:widowControl w:val="0"/>
        <w:numPr>
          <w:ilvl w:val="0"/>
          <w:numId w:val="15"/>
        </w:numPr>
        <w:shd w:val="clear" w:color="auto" w:fill="auto"/>
        <w:tabs>
          <w:tab w:pos="1103"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наличие у участников закупки деловой репутации;</w:t>
      </w:r>
    </w:p>
    <w:p>
      <w:pPr>
        <w:pStyle w:val="Style15"/>
        <w:keepNext w:val="0"/>
        <w:keepLines w:val="0"/>
        <w:widowControl w:val="0"/>
        <w:numPr>
          <w:ilvl w:val="0"/>
          <w:numId w:val="15"/>
        </w:numPr>
        <w:shd w:val="clear" w:color="auto" w:fill="auto"/>
        <w:tabs>
          <w:tab w:pos="111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наличие у участников закупки специалистов и иных работников определенного уровня квалификации.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 25 ПП РФ № 2604 для оценки заявок по показателям оценки, предусмотренным п. 24 ПП РФ № 2604, применяются детализирующие показатели.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 28 ПП РФ № 2604 в случае применения показателя оценки, предусмотренного пп. «в» п. 24 ПП РФ № 2604:</w:t>
      </w:r>
    </w:p>
    <w:p>
      <w:pPr>
        <w:pStyle w:val="Style15"/>
        <w:keepNext w:val="0"/>
        <w:keepLines w:val="0"/>
        <w:widowControl w:val="0"/>
        <w:numPr>
          <w:ilvl w:val="0"/>
          <w:numId w:val="17"/>
        </w:numPr>
        <w:shd w:val="clear" w:color="auto" w:fill="auto"/>
        <w:tabs>
          <w:tab w:pos="110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применяются один или несколько из следующих детализирующих показателей оценки:</w:t>
      </w:r>
    </w:p>
    <w:p>
      <w:pPr>
        <w:pStyle w:val="Style15"/>
        <w:keepNext w:val="0"/>
        <w:keepLines w:val="0"/>
        <w:widowControl w:val="0"/>
        <w:numPr>
          <w:ilvl w:val="0"/>
          <w:numId w:val="19"/>
        </w:numPr>
        <w:shd w:val="clear" w:color="auto" w:fill="auto"/>
        <w:tabs>
          <w:tab w:pos="100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общая цена исполненных участником закупки договоров;</w:t>
      </w:r>
    </w:p>
    <w:p>
      <w:pPr>
        <w:pStyle w:val="Style15"/>
        <w:keepNext w:val="0"/>
        <w:keepLines w:val="0"/>
        <w:widowControl w:val="0"/>
        <w:numPr>
          <w:ilvl w:val="0"/>
          <w:numId w:val="19"/>
        </w:numPr>
        <w:shd w:val="clear" w:color="auto" w:fill="auto"/>
        <w:tabs>
          <w:tab w:pos="100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общее количество исполненных участником закупки договоров;</w:t>
      </w:r>
    </w:p>
    <w:p>
      <w:pPr>
        <w:pStyle w:val="Style15"/>
        <w:keepNext w:val="0"/>
        <w:keepLines w:val="0"/>
        <w:widowControl w:val="0"/>
        <w:numPr>
          <w:ilvl w:val="0"/>
          <w:numId w:val="19"/>
        </w:numPr>
        <w:shd w:val="clear" w:color="auto" w:fill="auto"/>
        <w:tabs>
          <w:tab w:pos="100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наибольшая цена одного из исполненных участником закупки договоров;</w:t>
      </w:r>
    </w:p>
    <w:p>
      <w:pPr>
        <w:pStyle w:val="Style15"/>
        <w:keepNext w:val="0"/>
        <w:keepLines w:val="0"/>
        <w:widowControl w:val="0"/>
        <w:numPr>
          <w:ilvl w:val="0"/>
          <w:numId w:val="17"/>
        </w:numPr>
        <w:shd w:val="clear" w:color="auto" w:fill="auto"/>
        <w:tabs>
          <w:tab w:pos="1117"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оценка заявок по детализирующим показателям, предусмотренным пп. «а» п. 28 ПП РФ № 2604, осуществляется в порядке, установленном п. 20 и 21 ПП РФ № 2604, применение шкалы оценки не допускается;</w:t>
      </w:r>
    </w:p>
    <w:p>
      <w:pPr>
        <w:pStyle w:val="Style15"/>
        <w:keepNext w:val="0"/>
        <w:keepLines w:val="0"/>
        <w:widowControl w:val="0"/>
        <w:numPr>
          <w:ilvl w:val="0"/>
          <w:numId w:val="17"/>
        </w:numPr>
        <w:shd w:val="clear" w:color="auto" w:fill="auto"/>
        <w:tabs>
          <w:tab w:pos="111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документом, предусмотренным приложением № 1 к ПП РФ № 2604:</w:t>
      </w:r>
    </w:p>
    <w:p>
      <w:pPr>
        <w:pStyle w:val="Style15"/>
        <w:keepNext w:val="0"/>
        <w:keepLines w:val="0"/>
        <w:widowControl w:val="0"/>
        <w:numPr>
          <w:ilvl w:val="0"/>
          <w:numId w:val="21"/>
        </w:numPr>
        <w:shd w:val="clear" w:color="auto" w:fill="auto"/>
        <w:tabs>
          <w:tab w:pos="100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pPr>
        <w:pStyle w:val="Style15"/>
        <w:keepNext w:val="0"/>
        <w:keepLines w:val="0"/>
        <w:widowControl w:val="0"/>
        <w:numPr>
          <w:ilvl w:val="0"/>
          <w:numId w:val="21"/>
        </w:numPr>
        <w:shd w:val="clear" w:color="auto" w:fill="auto"/>
        <w:tabs>
          <w:tab w:pos="997"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pPr>
        <w:pStyle w:val="Style15"/>
        <w:keepNext w:val="0"/>
        <w:keepLines w:val="0"/>
        <w:widowControl w:val="0"/>
        <w:numPr>
          <w:ilvl w:val="0"/>
          <w:numId w:val="21"/>
        </w:numPr>
        <w:shd w:val="clear" w:color="auto" w:fill="auto"/>
        <w:tabs>
          <w:tab w:pos="1056"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может быть установлено положение о принятии к оценке исключительно исполненного </w:t>
      </w:r>
      <w:r>
        <w:rPr>
          <w:color w:val="000000"/>
          <w:spacing w:val="0"/>
          <w:w w:val="100"/>
          <w:position w:val="0"/>
          <w:sz w:val="24"/>
          <w:szCs w:val="24"/>
          <w:shd w:val="clear" w:color="auto" w:fill="auto"/>
          <w:lang w:val="ru-RU" w:eastAsia="ru-RU" w:bidi="ru-RU"/>
        </w:rPr>
        <w:t>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pPr>
        <w:pStyle w:val="Style15"/>
        <w:keepNext w:val="0"/>
        <w:keepLines w:val="0"/>
        <w:widowControl w:val="0"/>
        <w:numPr>
          <w:ilvl w:val="0"/>
          <w:numId w:val="17"/>
        </w:numPr>
        <w:shd w:val="clear" w:color="auto" w:fill="auto"/>
        <w:tabs>
          <w:tab w:pos="1066"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последний акт, составленный при исполнении договора и предусмотренный абзацем третьим пп. «в» п. 28 ПП РФ № 2604, должен быть подписан не ранее чем за 5 лет до даты окончания срока подачи заявок;</w:t>
      </w:r>
    </w:p>
    <w:p>
      <w:pPr>
        <w:pStyle w:val="Style15"/>
        <w:keepNext w:val="0"/>
        <w:keepLines w:val="0"/>
        <w:widowControl w:val="0"/>
        <w:numPr>
          <w:ilvl w:val="0"/>
          <w:numId w:val="17"/>
        </w:numPr>
        <w:shd w:val="clear" w:color="auto" w:fill="auto"/>
        <w:tabs>
          <w:tab w:pos="1090"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pPr>
        <w:pStyle w:val="Style15"/>
        <w:keepNext w:val="0"/>
        <w:keepLines w:val="0"/>
        <w:widowControl w:val="0"/>
        <w:numPr>
          <w:ilvl w:val="0"/>
          <w:numId w:val="17"/>
        </w:numPr>
        <w:shd w:val="clear" w:color="auto" w:fill="auto"/>
        <w:tabs>
          <w:tab w:pos="1075"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 оценке принимаются документы, предусмотренные абзацем третьим п. «в» п. 28 ПП РФ № 2604, в случае их представления в заявке в полном объеме и со всеми приложениями, за исключением случаев, предусмотренных пп. «д» п. 31, п. «г» п. 32 и пп. «г» п. 33 ПП РФ № 2604.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извещением о проведении закупки № 0356500001424005519 объектом закупки является оказание услуг по организации бесплатного горячего питания обучающихся из малоимущих, многодетных малоимущих семей, обучающихся, получающих начальное общее образование в муниципальных образовательных учреждениях. Описание оказываемых услуг указано вы приложении к извещению «Техническое задание».</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силу п. 2.1. 2.2. Технического задания оказываемые услуги должны соответствовать требованиям, установленным действующим законодательством Российской Федерации, регулирующих порядок оказания данного вида услуг, в том числе обязательным требованиям нормативных правовых актов, иных актов согласно Перечню, указанному в пункте 2.2. Технического задания.</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Перечень нормативных правовых актов, иных актов:</w:t>
      </w:r>
    </w:p>
    <w:p>
      <w:pPr>
        <w:pStyle w:val="Style15"/>
        <w:keepNext w:val="0"/>
        <w:keepLines w:val="0"/>
        <w:widowControl w:val="0"/>
        <w:numPr>
          <w:ilvl w:val="0"/>
          <w:numId w:val="23"/>
        </w:numPr>
        <w:shd w:val="clear" w:color="auto" w:fill="auto"/>
        <w:tabs>
          <w:tab w:pos="975"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Трудовой кодекс Российской Федерации;</w:t>
      </w:r>
    </w:p>
    <w:p>
      <w:pPr>
        <w:pStyle w:val="Style15"/>
        <w:keepNext w:val="0"/>
        <w:keepLines w:val="0"/>
        <w:widowControl w:val="0"/>
        <w:numPr>
          <w:ilvl w:val="0"/>
          <w:numId w:val="23"/>
        </w:numPr>
        <w:shd w:val="clear" w:color="auto" w:fill="auto"/>
        <w:tabs>
          <w:tab w:pos="965"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Технический регламент Таможенного союза «О безопасности отдельных видов специализированной пищевой продукции, в том числе диетического лечебного и диетического профилактического питания» (ТР ТС 027/2012);</w:t>
      </w:r>
    </w:p>
    <w:p>
      <w:pPr>
        <w:pStyle w:val="Style15"/>
        <w:keepNext w:val="0"/>
        <w:keepLines w:val="0"/>
        <w:widowControl w:val="0"/>
        <w:numPr>
          <w:ilvl w:val="0"/>
          <w:numId w:val="23"/>
        </w:numPr>
        <w:shd w:val="clear" w:color="auto" w:fill="auto"/>
        <w:tabs>
          <w:tab w:pos="960"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Технический регламент Таможенного союза «Пищевая продукция в части ее маркировки» (ТР ТС 022/2011);</w:t>
      </w:r>
    </w:p>
    <w:p>
      <w:pPr>
        <w:pStyle w:val="Style15"/>
        <w:keepNext w:val="0"/>
        <w:keepLines w:val="0"/>
        <w:widowControl w:val="0"/>
        <w:numPr>
          <w:ilvl w:val="0"/>
          <w:numId w:val="23"/>
        </w:numPr>
        <w:shd w:val="clear" w:color="auto" w:fill="auto"/>
        <w:tabs>
          <w:tab w:pos="965"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Технический регламент Таможенного союза «О безопасности пищевой продукции» (ТР ТС 021/2011);</w:t>
      </w:r>
    </w:p>
    <w:p>
      <w:pPr>
        <w:pStyle w:val="Style15"/>
        <w:keepNext w:val="0"/>
        <w:keepLines w:val="0"/>
        <w:widowControl w:val="0"/>
        <w:numPr>
          <w:ilvl w:val="0"/>
          <w:numId w:val="23"/>
        </w:numPr>
        <w:shd w:val="clear" w:color="auto" w:fill="auto"/>
        <w:tabs>
          <w:tab w:pos="975"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Технический регламент Таможенного союза «О безопасности упаковки» (ТР ТС 005/2011);</w:t>
      </w:r>
    </w:p>
    <w:p>
      <w:pPr>
        <w:pStyle w:val="Style15"/>
        <w:keepNext w:val="0"/>
        <w:keepLines w:val="0"/>
        <w:widowControl w:val="0"/>
        <w:numPr>
          <w:ilvl w:val="0"/>
          <w:numId w:val="23"/>
        </w:numPr>
        <w:shd w:val="clear" w:color="auto" w:fill="auto"/>
        <w:tabs>
          <w:tab w:pos="965"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Решение комиссии Таможенного союза от 28 мая 2010 г. № 299 «О применении санитарных мер в Евразийском экономическом союзе»;</w:t>
      </w:r>
    </w:p>
    <w:p>
      <w:pPr>
        <w:pStyle w:val="Style15"/>
        <w:keepNext w:val="0"/>
        <w:keepLines w:val="0"/>
        <w:widowControl w:val="0"/>
        <w:numPr>
          <w:ilvl w:val="0"/>
          <w:numId w:val="23"/>
        </w:numPr>
        <w:shd w:val="clear" w:color="auto" w:fill="auto"/>
        <w:tabs>
          <w:tab w:pos="960"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Федеральный закон от 29 декабря 2012 г. № 273-ФЗ «Об образовании в Российской Федерации»;</w:t>
      </w:r>
    </w:p>
    <w:p>
      <w:pPr>
        <w:pStyle w:val="Style15"/>
        <w:keepNext w:val="0"/>
        <w:keepLines w:val="0"/>
        <w:widowControl w:val="0"/>
        <w:numPr>
          <w:ilvl w:val="0"/>
          <w:numId w:val="23"/>
        </w:numPr>
        <w:shd w:val="clear" w:color="auto" w:fill="auto"/>
        <w:tabs>
          <w:tab w:pos="960"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Федеральный закон от 30 марта 1999 г. № 52-ФЗ «О санитарно-эпидемиологическом благополучии населения»;</w:t>
      </w:r>
    </w:p>
    <w:p>
      <w:pPr>
        <w:pStyle w:val="Style15"/>
        <w:keepNext w:val="0"/>
        <w:keepLines w:val="0"/>
        <w:widowControl w:val="0"/>
        <w:numPr>
          <w:ilvl w:val="0"/>
          <w:numId w:val="23"/>
        </w:numPr>
        <w:shd w:val="clear" w:color="auto" w:fill="auto"/>
        <w:tabs>
          <w:tab w:pos="965"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Федеральный закон от 02 января 2000 г. № 29-ФЗ «О качестве и безопасности пищевых продуктов»;</w:t>
      </w:r>
    </w:p>
    <w:p>
      <w:pPr>
        <w:pStyle w:val="Style15"/>
        <w:keepNext w:val="0"/>
        <w:keepLines w:val="0"/>
        <w:widowControl w:val="0"/>
        <w:numPr>
          <w:ilvl w:val="0"/>
          <w:numId w:val="23"/>
        </w:numPr>
        <w:shd w:val="clear" w:color="auto" w:fill="auto"/>
        <w:tabs>
          <w:tab w:pos="970"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Приказ Министерства труда и социальной защиты Российской Федерации от 09 декабря 2014 г. № 997н «Об утверждении Типовых норм бесплатной выдачи специальной одежды, специальной обуви, и других средств индивидуальной защиты работникам сквозных профессий и должностей всех видов экономической деятельности, занятым на работах с вредными и (или) опасными условиями труда, а также на работах, выполняемых в особых температурных условиях или связанных с загрязнением»;</w:t>
      </w:r>
    </w:p>
    <w:p>
      <w:pPr>
        <w:pStyle w:val="Style15"/>
        <w:keepNext w:val="0"/>
        <w:keepLines w:val="0"/>
        <w:widowControl w:val="0"/>
        <w:numPr>
          <w:ilvl w:val="0"/>
          <w:numId w:val="23"/>
        </w:numPr>
        <w:shd w:val="clear" w:color="auto" w:fill="auto"/>
        <w:tabs>
          <w:tab w:pos="965"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Приказ Министерства здравоохранения Российской Федерации от 06 декабря 2021 г. № 1122н «Об утверждении национального календаря профилактических прививок, календаря профилактических прививок по эпидемическим показаниям и порядка проведения </w:t>
      </w:r>
      <w:r>
        <w:rPr>
          <w:color w:val="000000"/>
          <w:spacing w:val="0"/>
          <w:w w:val="100"/>
          <w:position w:val="0"/>
          <w:sz w:val="24"/>
          <w:szCs w:val="24"/>
          <w:shd w:val="clear" w:color="auto" w:fill="auto"/>
          <w:lang w:val="ru-RU" w:eastAsia="ru-RU" w:bidi="ru-RU"/>
        </w:rPr>
        <w:t>профилактических прививок»;</w:t>
      </w:r>
    </w:p>
    <w:p>
      <w:pPr>
        <w:pStyle w:val="Style15"/>
        <w:keepNext w:val="0"/>
        <w:keepLines w:val="0"/>
        <w:widowControl w:val="0"/>
        <w:numPr>
          <w:ilvl w:val="0"/>
          <w:numId w:val="23"/>
        </w:numPr>
        <w:shd w:val="clear" w:color="auto" w:fill="auto"/>
        <w:tabs>
          <w:tab w:pos="989"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Приказ Министерства здравоохранения и социального развития Российской Федерации № 213н, Министерства образования и науки Российской Федерации № 178 от 11 марта 2012 г. «Об утверждении методических рекомендаций по организации питания обучающихся и воспитанников образовательных учреждений»;</w:t>
      </w:r>
    </w:p>
    <w:p>
      <w:pPr>
        <w:pStyle w:val="Style15"/>
        <w:keepNext w:val="0"/>
        <w:keepLines w:val="0"/>
        <w:widowControl w:val="0"/>
        <w:numPr>
          <w:ilvl w:val="0"/>
          <w:numId w:val="23"/>
        </w:numPr>
        <w:shd w:val="clear" w:color="auto" w:fill="auto"/>
        <w:tabs>
          <w:tab w:pos="984"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Приказ Министерства здравоохранения Российской Федерации от 28 января 2021 г. № 29н «Об утверждении порядка проведения обязательных предварительных и периодических медицинских осмотров работников, предусмотренные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p>
    <w:p>
      <w:pPr>
        <w:pStyle w:val="Style15"/>
        <w:keepNext w:val="0"/>
        <w:keepLines w:val="0"/>
        <w:widowControl w:val="0"/>
        <w:numPr>
          <w:ilvl w:val="0"/>
          <w:numId w:val="23"/>
        </w:numPr>
        <w:shd w:val="clear" w:color="auto" w:fill="auto"/>
        <w:tabs>
          <w:tab w:pos="984"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Приказ Министерства здравоохранения Российской Федерации от 29 июня 2000 г. № 229 «О профессиональной гигиенической подготовке и аттестации должностных лиц и работников организаций»;</w:t>
      </w:r>
    </w:p>
    <w:p>
      <w:pPr>
        <w:pStyle w:val="Style15"/>
        <w:keepNext w:val="0"/>
        <w:keepLines w:val="0"/>
        <w:widowControl w:val="0"/>
        <w:numPr>
          <w:ilvl w:val="0"/>
          <w:numId w:val="23"/>
        </w:numPr>
        <w:shd w:val="clear" w:color="auto" w:fill="auto"/>
        <w:tabs>
          <w:tab w:pos="984"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Приказ Минздрава России от 18 февраля 2022 г. № 90н «Об утверждении формы, порядка ведения отчетности, учета и выдачи работникам личных медицинских книжек, в том числе в форме электронного документа»;</w:t>
      </w:r>
    </w:p>
    <w:p>
      <w:pPr>
        <w:pStyle w:val="Style15"/>
        <w:keepNext w:val="0"/>
        <w:keepLines w:val="0"/>
        <w:widowControl w:val="0"/>
        <w:numPr>
          <w:ilvl w:val="0"/>
          <w:numId w:val="23"/>
        </w:numPr>
        <w:shd w:val="clear" w:color="auto" w:fill="auto"/>
        <w:tabs>
          <w:tab w:pos="994"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Приказ Министерства здравоохранения Российской Федерации от 20 мая 2022 № 342н «Об утверждении порядка прохождения обязательного психиатрического освидетельствования работниками, осуществляющими отдельные виды деятельности, его периодичности, а также видов деятельности, при осуществлении которых проводится психиатрическое освидетельствование»;</w:t>
      </w:r>
    </w:p>
    <w:p>
      <w:pPr>
        <w:pStyle w:val="Style15"/>
        <w:keepNext w:val="0"/>
        <w:keepLines w:val="0"/>
        <w:widowControl w:val="0"/>
        <w:numPr>
          <w:ilvl w:val="0"/>
          <w:numId w:val="23"/>
        </w:numPr>
        <w:shd w:val="clear" w:color="auto" w:fill="auto"/>
        <w:tabs>
          <w:tab w:pos="984"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Закон Пермской области от 09 сентября 1996 г. № 533-83 «О социальных гарантиях и мерах социальной поддержки семьи, материнства, отцовства и детства Пермского края»;</w:t>
      </w:r>
    </w:p>
    <w:p>
      <w:pPr>
        <w:pStyle w:val="Style15"/>
        <w:keepNext w:val="0"/>
        <w:keepLines w:val="0"/>
        <w:widowControl w:val="0"/>
        <w:numPr>
          <w:ilvl w:val="0"/>
          <w:numId w:val="23"/>
        </w:numPr>
        <w:shd w:val="clear" w:color="auto" w:fill="auto"/>
        <w:tabs>
          <w:tab w:pos="984"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ГОСТ Р 70231-2022 «Национальный стандарт Российской Федерации. Гигиена пищевой продукции. Одежда для работников производства пищевой продукции и общественного питания. Требования, основанные на принципах ХАССП»;</w:t>
      </w:r>
    </w:p>
    <w:p>
      <w:pPr>
        <w:pStyle w:val="Style15"/>
        <w:keepNext w:val="0"/>
        <w:keepLines w:val="0"/>
        <w:widowControl w:val="0"/>
        <w:numPr>
          <w:ilvl w:val="0"/>
          <w:numId w:val="23"/>
        </w:numPr>
        <w:shd w:val="clear" w:color="auto" w:fill="auto"/>
        <w:tabs>
          <w:tab w:pos="979"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СП 2.4.3648-20 «Санитарно - эпидемиологические требования к организациям воспитания и обучения, отдыха и оздоровления детей и молодежи»;</w:t>
      </w:r>
    </w:p>
    <w:p>
      <w:pPr>
        <w:pStyle w:val="Style15"/>
        <w:keepNext w:val="0"/>
        <w:keepLines w:val="0"/>
        <w:widowControl w:val="0"/>
        <w:numPr>
          <w:ilvl w:val="0"/>
          <w:numId w:val="23"/>
        </w:numPr>
        <w:shd w:val="clear" w:color="auto" w:fill="auto"/>
        <w:tabs>
          <w:tab w:pos="979"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СП 1.1.1058-01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w:t>
      </w:r>
    </w:p>
    <w:p>
      <w:pPr>
        <w:pStyle w:val="Style15"/>
        <w:keepNext w:val="0"/>
        <w:keepLines w:val="0"/>
        <w:widowControl w:val="0"/>
        <w:numPr>
          <w:ilvl w:val="0"/>
          <w:numId w:val="23"/>
        </w:numPr>
        <w:shd w:val="clear" w:color="auto" w:fill="auto"/>
        <w:tabs>
          <w:tab w:pos="979"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СанПиН 2.3/2.4.3590-20 «Санитарно - эпидемиологические требования к организации общественного питания населения»;</w:t>
      </w:r>
    </w:p>
    <w:p>
      <w:pPr>
        <w:pStyle w:val="Style15"/>
        <w:keepNext w:val="0"/>
        <w:keepLines w:val="0"/>
        <w:widowControl w:val="0"/>
        <w:numPr>
          <w:ilvl w:val="0"/>
          <w:numId w:val="23"/>
        </w:numPr>
        <w:shd w:val="clear" w:color="auto" w:fill="auto"/>
        <w:tabs>
          <w:tab w:pos="979"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СанПиН 2.3.2.1078-01 «Гигиенические требования безопасности и пищевой ценности пищевых продуктов»;</w:t>
      </w:r>
    </w:p>
    <w:p>
      <w:pPr>
        <w:pStyle w:val="Style15"/>
        <w:keepNext w:val="0"/>
        <w:keepLines w:val="0"/>
        <w:widowControl w:val="0"/>
        <w:numPr>
          <w:ilvl w:val="0"/>
          <w:numId w:val="23"/>
        </w:numPr>
        <w:shd w:val="clear" w:color="auto" w:fill="auto"/>
        <w:tabs>
          <w:tab w:pos="989"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СанПиН 2.3.2.1324-03 «Гигиенические требования к срокам годности и условиям хранения пищевых продуктов»;</w:t>
      </w:r>
    </w:p>
    <w:p>
      <w:pPr>
        <w:pStyle w:val="Style15"/>
        <w:keepNext w:val="0"/>
        <w:keepLines w:val="0"/>
        <w:widowControl w:val="0"/>
        <w:numPr>
          <w:ilvl w:val="0"/>
          <w:numId w:val="23"/>
        </w:numPr>
        <w:shd w:val="clear" w:color="auto" w:fill="auto"/>
        <w:tabs>
          <w:tab w:pos="979"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СанПиН 3.3686-21 «Санитарно-эпидемиологические требования по профилактике инфекционных болезней»;</w:t>
      </w:r>
    </w:p>
    <w:p>
      <w:pPr>
        <w:pStyle w:val="Style15"/>
        <w:keepNext w:val="0"/>
        <w:keepLines w:val="0"/>
        <w:widowControl w:val="0"/>
        <w:numPr>
          <w:ilvl w:val="0"/>
          <w:numId w:val="23"/>
        </w:numPr>
        <w:shd w:val="clear" w:color="auto" w:fill="auto"/>
        <w:tabs>
          <w:tab w:pos="979"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Методические рекомендации МР 2.4.0162-19 «Особенности организации питания детей, страдающих сахарным диабетом и иными заболеваниями, сопровождающимися ограничениями в питании (в образовательных и оздоровительных организациях»;</w:t>
      </w:r>
    </w:p>
    <w:p>
      <w:pPr>
        <w:pStyle w:val="Style15"/>
        <w:keepNext w:val="0"/>
        <w:keepLines w:val="0"/>
        <w:widowControl w:val="0"/>
        <w:numPr>
          <w:ilvl w:val="0"/>
          <w:numId w:val="23"/>
        </w:numPr>
        <w:shd w:val="clear" w:color="auto" w:fill="auto"/>
        <w:tabs>
          <w:tab w:pos="979"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Методические рекомендации МР 3.1/2.3.6.0190-20 «Рекомендации по организации работы предприятий общественного питания в условиях сохранения рисков распространения СОVI^-19»;</w:t>
      </w:r>
    </w:p>
    <w:p>
      <w:pPr>
        <w:pStyle w:val="Style15"/>
        <w:keepNext w:val="0"/>
        <w:keepLines w:val="0"/>
        <w:widowControl w:val="0"/>
        <w:numPr>
          <w:ilvl w:val="0"/>
          <w:numId w:val="23"/>
        </w:numPr>
        <w:shd w:val="clear" w:color="auto" w:fill="auto"/>
        <w:tabs>
          <w:tab w:pos="979"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Методические рекомендации МР 2.4.0260-21 «Рекомендации по проведению оценки соответствия меню обязательным требованиям»;</w:t>
      </w:r>
    </w:p>
    <w:p>
      <w:pPr>
        <w:pStyle w:val="Style15"/>
        <w:keepNext w:val="0"/>
        <w:keepLines w:val="0"/>
        <w:widowControl w:val="0"/>
        <w:numPr>
          <w:ilvl w:val="0"/>
          <w:numId w:val="23"/>
        </w:numPr>
        <w:shd w:val="clear" w:color="auto" w:fill="auto"/>
        <w:tabs>
          <w:tab w:pos="979"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Методические рекомендации МР 2.3.6.0233-21 «Методические рекомендации к организации общественного питания населения»;</w:t>
      </w:r>
    </w:p>
    <w:p>
      <w:pPr>
        <w:pStyle w:val="Style15"/>
        <w:keepNext w:val="0"/>
        <w:keepLines w:val="0"/>
        <w:widowControl w:val="0"/>
        <w:numPr>
          <w:ilvl w:val="0"/>
          <w:numId w:val="23"/>
        </w:numPr>
        <w:shd w:val="clear" w:color="auto" w:fill="auto"/>
        <w:tabs>
          <w:tab w:pos="979"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Методические рекомендации МР 2.4.0312-22 «Дополнительное питание в образовательных и оздоровительных организациях для детей»;</w:t>
      </w:r>
    </w:p>
    <w:p>
      <w:pPr>
        <w:pStyle w:val="Style15"/>
        <w:keepNext w:val="0"/>
        <w:keepLines w:val="0"/>
        <w:widowControl w:val="0"/>
        <w:numPr>
          <w:ilvl w:val="0"/>
          <w:numId w:val="23"/>
        </w:numPr>
        <w:shd w:val="clear" w:color="auto" w:fill="auto"/>
        <w:tabs>
          <w:tab w:pos="979"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Методические рекомендации МР 2.3.0316-23 «Подготовка и проведение мониторинга питания обучающихся общеобразовательных организаций. Методические рекомендации»;</w:t>
      </w:r>
    </w:p>
    <w:p>
      <w:pPr>
        <w:pStyle w:val="Style15"/>
        <w:keepNext w:val="0"/>
        <w:keepLines w:val="0"/>
        <w:widowControl w:val="0"/>
        <w:numPr>
          <w:ilvl w:val="0"/>
          <w:numId w:val="23"/>
        </w:numPr>
        <w:shd w:val="clear" w:color="auto" w:fill="auto"/>
        <w:tabs>
          <w:tab w:pos="99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Методические рекомендации МР 2.4.0180-20 «Родительский контроль за организацией питания детей в общеобразовательных организациях»;</w:t>
      </w:r>
    </w:p>
    <w:p>
      <w:pPr>
        <w:pStyle w:val="Style15"/>
        <w:keepNext w:val="0"/>
        <w:keepLines w:val="0"/>
        <w:widowControl w:val="0"/>
        <w:numPr>
          <w:ilvl w:val="0"/>
          <w:numId w:val="23"/>
        </w:numPr>
        <w:shd w:val="clear" w:color="auto" w:fill="auto"/>
        <w:tabs>
          <w:tab w:pos="99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Методические рекомендации МР 2.4.0179-20 «Рекомендации по организации питания для обучающихся общеобразовательных организаций»;</w:t>
      </w:r>
    </w:p>
    <w:p>
      <w:pPr>
        <w:pStyle w:val="Style15"/>
        <w:keepNext w:val="0"/>
        <w:keepLines w:val="0"/>
        <w:widowControl w:val="0"/>
        <w:numPr>
          <w:ilvl w:val="0"/>
          <w:numId w:val="23"/>
        </w:numPr>
        <w:shd w:val="clear" w:color="auto" w:fill="auto"/>
        <w:tabs>
          <w:tab w:pos="100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иные нормативные правовые акты по вопросам, касающимся объекта закупки.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Также, согласно извещению о проведении закупки критерии оценки установлены в приложении «Порядок оценки заявок по критериям».</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Так, критерием наряду с ценой контракта (значимость критерия - 60 %), является критерий «Квалификация участников закупки» (значимость критерия - 40 %) содержащий показатели «Наличие у участников закупки опыта работы, связанного с предметом контракта», «Наличие у участников закупки специалистов и иных работников определенного уровня квалификации».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качестве детализирующего показателя к показателю «Наличие у участников закупки опыта работы, связанного с предметом контракта» является:</w:t>
      </w:r>
    </w:p>
    <w:p>
      <w:pPr>
        <w:pStyle w:val="Style15"/>
        <w:keepNext w:val="0"/>
        <w:keepLines w:val="0"/>
        <w:widowControl w:val="0"/>
        <w:numPr>
          <w:ilvl w:val="0"/>
          <w:numId w:val="23"/>
        </w:numPr>
        <w:shd w:val="clear" w:color="auto" w:fill="auto"/>
        <w:tabs>
          <w:tab w:pos="100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наибольшая цена одного из исполненных участником закупки договоров.</w:t>
      </w:r>
    </w:p>
    <w:p>
      <w:pPr>
        <w:pStyle w:val="Style15"/>
        <w:keepNext w:val="0"/>
        <w:keepLines w:val="0"/>
        <w:widowControl w:val="0"/>
        <w:numPr>
          <w:ilvl w:val="0"/>
          <w:numId w:val="25"/>
        </w:numPr>
        <w:shd w:val="clear" w:color="auto" w:fill="auto"/>
        <w:tabs>
          <w:tab w:pos="107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Предметом договора, оцениваемому по детализирующему показателю «наибольшая цена одного из исполненных участником закупки договоров», является договор сопоставимый с предметом контракта, заключаемого по результатам определения поставщика (подрядчика, исполнителя): оказание услуг по организации питания.</w:t>
      </w:r>
    </w:p>
    <w:p>
      <w:pPr>
        <w:pStyle w:val="Style15"/>
        <w:keepNext w:val="0"/>
        <w:keepLines w:val="0"/>
        <w:widowControl w:val="0"/>
        <w:numPr>
          <w:ilvl w:val="0"/>
          <w:numId w:val="25"/>
        </w:numPr>
        <w:shd w:val="clear" w:color="auto" w:fill="auto"/>
        <w:tabs>
          <w:tab w:pos="108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w:t>
      </w:r>
    </w:p>
    <w:p>
      <w:pPr>
        <w:pStyle w:val="Style15"/>
        <w:keepNext w:val="0"/>
        <w:keepLines w:val="0"/>
        <w:widowControl w:val="0"/>
        <w:numPr>
          <w:ilvl w:val="0"/>
          <w:numId w:val="27"/>
        </w:numPr>
        <w:shd w:val="clear" w:color="auto" w:fill="auto"/>
        <w:tabs>
          <w:tab w:pos="100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исполненный договор (договоры);</w:t>
      </w:r>
    </w:p>
    <w:p>
      <w:pPr>
        <w:pStyle w:val="Style15"/>
        <w:keepNext w:val="0"/>
        <w:keepLines w:val="0"/>
        <w:widowControl w:val="0"/>
        <w:numPr>
          <w:ilvl w:val="0"/>
          <w:numId w:val="27"/>
        </w:numPr>
        <w:shd w:val="clear" w:color="auto" w:fill="auto"/>
        <w:tabs>
          <w:tab w:pos="987"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акт (акты) приемки оказанных услуг, составленные при исполнении такого договора (договоров);</w:t>
      </w:r>
    </w:p>
    <w:p>
      <w:pPr>
        <w:pStyle w:val="Style15"/>
        <w:keepNext w:val="0"/>
        <w:keepLines w:val="0"/>
        <w:widowControl w:val="0"/>
        <w:numPr>
          <w:ilvl w:val="0"/>
          <w:numId w:val="27"/>
        </w:numPr>
        <w:shd w:val="clear" w:color="auto" w:fill="auto"/>
        <w:tabs>
          <w:tab w:pos="100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реестровый номер контракта (договора) с сайта хакиркадоу.ги (при наличии).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 оценке принимаются исключительно исполненные договора (договоры),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pPr>
        <w:pStyle w:val="Style15"/>
        <w:keepNext w:val="0"/>
        <w:keepLines w:val="0"/>
        <w:widowControl w:val="0"/>
        <w:numPr>
          <w:ilvl w:val="0"/>
          <w:numId w:val="25"/>
        </w:numPr>
        <w:shd w:val="clear" w:color="auto" w:fill="auto"/>
        <w:tabs>
          <w:tab w:pos="107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Последний акт, составленный при исполнении договора и предусмотренный пунктом 2, должен быть подписан не ранее чем за 5 лет до даты окончания срока подачи заявок.</w:t>
      </w:r>
    </w:p>
    <w:p>
      <w:pPr>
        <w:pStyle w:val="Style15"/>
        <w:keepNext w:val="0"/>
        <w:keepLines w:val="0"/>
        <w:widowControl w:val="0"/>
        <w:numPr>
          <w:ilvl w:val="0"/>
          <w:numId w:val="25"/>
        </w:numPr>
        <w:shd w:val="clear" w:color="auto" w:fill="auto"/>
        <w:tabs>
          <w:tab w:pos="107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 44-ФЗ от 05.04.2013г.,</w:t>
      </w:r>
    </w:p>
    <w:p>
      <w:pPr>
        <w:pStyle w:val="Style15"/>
        <w:keepNext w:val="0"/>
        <w:keepLines w:val="0"/>
        <w:widowControl w:val="0"/>
        <w:numPr>
          <w:ilvl w:val="0"/>
          <w:numId w:val="25"/>
        </w:numPr>
        <w:shd w:val="clear" w:color="auto" w:fill="auto"/>
        <w:tabs>
          <w:tab w:pos="107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 оценке принимаются документы, предусмотренные пунктом 2, в случае их представления в заявке в полном объеме и со всеми приложениями. Такие документы направляются в форме электронных документов или в форме электронных образов бумажных документов.</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отмечает, что порядок рассмотрения и оценки заявок установлен Уполномоченным учреждением с учетом требований Закона о закупках и не противоречит ПП РФ № 2604, п. 28 ПП РФ № 2604. Установленные Уполномоченным учреждением критерии и порядок оценки конкурсных заявок не препятствуют участию в конкурсе, не создают преимуществ конкретному участнику, а направлены на определение победителя данного конкурса, который наиболее соответствует потребностям заказчика при оказании услуг по предмету закупки исходя из конкурсных предложений участников закупки.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Кроме того, исходя из требований Технического задания, при оказании услуг исполнитель обязан соблюдать требования СанПиН 2.3/2.4.3590-20, на которые ссылается Заявитель.</w:t>
      </w:r>
    </w:p>
    <w:p>
      <w:pPr>
        <w:pStyle w:val="Style15"/>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На основании статей 99, 106 Федерального закона «О контрактной системе в сфере закупок товаров, работ, услуг для обеспечения государственных и муниципальных нужд» Комиссия,</w:t>
      </w:r>
    </w:p>
    <w:p>
      <w:pPr>
        <w:pStyle w:val="Style13"/>
        <w:keepNext/>
        <w:keepLines/>
        <w:widowControl w:val="0"/>
        <w:shd w:val="clear" w:color="auto" w:fill="auto"/>
        <w:bidi w:val="0"/>
        <w:spacing w:before="0" w:after="0" w:line="240" w:lineRule="auto"/>
        <w:ind w:left="0" w:right="0" w:firstLine="0"/>
        <w:jc w:val="center"/>
      </w:pPr>
      <w:bookmarkStart w:id="14" w:name="bookmark14"/>
      <w:r>
        <w:rPr>
          <w:color w:val="000000"/>
          <w:spacing w:val="0"/>
          <w:w w:val="100"/>
          <w:position w:val="0"/>
          <w:sz w:val="24"/>
          <w:szCs w:val="24"/>
          <w:shd w:val="clear" w:color="auto" w:fill="auto"/>
          <w:lang w:val="ru-RU" w:eastAsia="ru-RU" w:bidi="ru-RU"/>
        </w:rPr>
        <w:t>РЕШИЛА:</w:t>
      </w:r>
      <w:bookmarkEnd w:id="14"/>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Признать жалобу ИП Бабкиной Ф.С. на действия ГКУ ПК «Центр организации закупок» при проведении открытого конкурса в электронной форме на оказание услуг по организации</w:t>
        <w:br w:type="page"/>
      </w:r>
      <w:r>
        <w:rPr>
          <w:color w:val="000000"/>
          <w:spacing w:val="0"/>
          <w:w w:val="100"/>
          <w:position w:val="0"/>
          <w:sz w:val="24"/>
          <w:szCs w:val="24"/>
          <w:shd w:val="clear" w:color="auto" w:fill="auto"/>
          <w:lang w:val="ru-RU" w:eastAsia="ru-RU" w:bidi="ru-RU"/>
        </w:rPr>
        <w:t>бесплатного горячего питания обучающихся из малоимущих, многодетных малоимущих семей, обучающихся, получающих начальное общее образование в муниципальных образовательных учреждениях (изв.№ 0356500001424005519) необоснованной.</w:t>
      </w:r>
    </w:p>
    <w:p>
      <w:pPr>
        <w:pStyle w:val="Style15"/>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z w:val="24"/>
          <w:szCs w:val="24"/>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554" w:right="542" w:bottom="1244" w:left="1105" w:header="0" w:footer="3" w:gutter="0"/>
          <w:cols w:space="720"/>
          <w:noEndnote/>
          <w:rtlGutter w:val="0"/>
          <w:docGrid w:linePitch="360"/>
        </w:sectPr>
      </w:pPr>
      <w:r>
        <mc:AlternateContent>
          <mc:Choice Requires="wps">
            <w:drawing>
              <wp:anchor distT="0" distB="396240" distL="0" distR="0" simplePos="0" relativeHeight="125829379" behindDoc="0" locked="0" layoutInCell="1" allowOverlap="1">
                <wp:simplePos x="0" y="0"/>
                <wp:positionH relativeFrom="page">
                  <wp:posOffset>741680</wp:posOffset>
                </wp:positionH>
                <wp:positionV relativeFrom="paragraph">
                  <wp:posOffset>0</wp:posOffset>
                </wp:positionV>
                <wp:extent cx="1667510" cy="201295"/>
                <wp:wrapTopAndBottom/>
                <wp:docPr id="8" name="Shape 8"/>
                <a:graphic xmlns:a="http://schemas.openxmlformats.org/drawingml/2006/main">
                  <a:graphicData uri="http://schemas.microsoft.com/office/word/2010/wordprocessingShape">
                    <wps:wsp>
                      <wps:cNvSpPr txBox="1"/>
                      <wps:spPr>
                        <a:xfrm>
                          <a:ext cx="1667510" cy="20129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4" type="#_x0000_t202" style="position:absolute;margin-left:58.399999999999999pt;margin-top:0;width:131.30000000000001pt;height:15.85pt;z-index:-125829374;mso-wrap-distance-left:0;mso-wrap-distance-right:0;mso-wrap-distance-bottom:31.19999999999999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60960" distB="0" distL="0" distR="1786255" simplePos="0" relativeHeight="125829381" behindDoc="0" locked="0" layoutInCell="1" allowOverlap="1">
            <wp:simplePos x="0" y="0"/>
            <wp:positionH relativeFrom="page">
              <wp:posOffset>2661920</wp:posOffset>
            </wp:positionH>
            <wp:positionV relativeFrom="paragraph">
              <wp:posOffset>60960</wp:posOffset>
            </wp:positionV>
            <wp:extent cx="353695" cy="536575"/>
            <wp:wrapTopAndBottom/>
            <wp:docPr id="10" name="Shape 10"/>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3119120</wp:posOffset>
                </wp:positionH>
                <wp:positionV relativeFrom="paragraph">
                  <wp:posOffset>463550</wp:posOffset>
                </wp:positionV>
                <wp:extent cx="1283335" cy="103505"/>
                <wp:wrapNone/>
                <wp:docPr id="12" name="Shape 12"/>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8" type="#_x0000_t202" style="position:absolute;margin-left:245.59999999999999pt;margin-top:36.5pt;width:101.05pt;height:8.1500000000000004pt;z-index:251657729;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3076575</wp:posOffset>
                </wp:positionH>
                <wp:positionV relativeFrom="paragraph">
                  <wp:posOffset>152400</wp:posOffset>
                </wp:positionV>
                <wp:extent cx="1722120" cy="255905"/>
                <wp:wrapNone/>
                <wp:docPr id="14" name="Shape 14"/>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0" type="#_x0000_t202" style="position:absolute;margin-left:242.25pt;margin-top:12.pt;width:135.59999999999999pt;height:20.15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204470" distB="170815" distL="0" distR="0" simplePos="0" relativeHeight="125829382" behindDoc="0" locked="0" layoutInCell="1" allowOverlap="1">
                <wp:simplePos x="0" y="0"/>
                <wp:positionH relativeFrom="page">
                  <wp:posOffset>6102985</wp:posOffset>
                </wp:positionH>
                <wp:positionV relativeFrom="paragraph">
                  <wp:posOffset>204470</wp:posOffset>
                </wp:positionV>
                <wp:extent cx="1088390" cy="222250"/>
                <wp:wrapTopAndBottom/>
                <wp:docPr id="16" name="Shape 16"/>
                <a:graphic xmlns:a="http://schemas.openxmlformats.org/drawingml/2006/main">
                  <a:graphicData uri="http://schemas.microsoft.com/office/word/2010/wordprocessingShape">
                    <wps:wsp>
                      <wps:cNvSpPr txBox="1"/>
                      <wps:spPr>
                        <a:xfrm>
                          <a:ext cx="1088390" cy="22225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Е.С. Субботина</w:t>
                            </w:r>
                          </w:p>
                        </w:txbxContent>
                      </wps:txbx>
                      <wps:bodyPr wrap="none" lIns="0" tIns="0" rIns="0" bIns="0">
                        <a:noAutoFit/>
                      </wps:bodyPr>
                    </wps:wsp>
                  </a:graphicData>
                </a:graphic>
              </wp:anchor>
            </w:drawing>
          </mc:Choice>
          <mc:Fallback>
            <w:pict>
              <v:shape id="_x0000_s1042" type="#_x0000_t202" style="position:absolute;margin-left:480.55000000000001pt;margin-top:16.100000000000001pt;width:85.700000000000003pt;height:17.5pt;z-index:-125829371;mso-wrap-distance-left:0;mso-wrap-distance-top:16.100000000000001pt;mso-wrap-distance-right:0;mso-wrap-distance-bottom:13.45000000000000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Е.С. Субботина</w:t>
                      </w:r>
                    </w:p>
                  </w:txbxContent>
                </v:textbox>
                <w10:wrap type="topAndBottom" anchorx="page"/>
              </v:shape>
            </w:pict>
          </mc:Fallback>
        </mc:AlternateContent>
      </w:r>
    </w:p>
    <w:p>
      <w:pPr>
        <w:pStyle w:val="Style23"/>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66666"/>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Субботина Екатерина Сергеевна</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О0СОС822В29790В5ВЗЕ4ВЕА073ЕВ878651</w:t>
      </w:r>
    </w:p>
    <w:p>
      <w:pPr>
        <w:pStyle w:val="Style23"/>
        <w:keepNext w:val="0"/>
        <w:keepLines w:val="0"/>
        <w:widowControl w:val="0"/>
        <w:shd w:val="clear" w:color="auto" w:fill="auto"/>
        <w:bidi w:val="0"/>
        <w:spacing w:before="0" w:after="60" w:line="240" w:lineRule="auto"/>
        <w:ind w:right="0" w:firstLine="0"/>
        <w:jc w:val="left"/>
      </w:pPr>
      <w:r>
        <w:rPr>
          <w:color w:val="666666"/>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19.02.2024 </w:t>
      </w:r>
      <w:r>
        <w:rPr>
          <w:color w:val="868686"/>
          <w:spacing w:val="0"/>
          <w:w w:val="100"/>
          <w:position w:val="0"/>
          <w:shd w:val="clear" w:color="auto" w:fill="auto"/>
          <w:lang w:val="ru-RU" w:eastAsia="ru-RU" w:bidi="ru-RU"/>
        </w:rPr>
        <w:t xml:space="preserve">по </w:t>
      </w:r>
      <w:r>
        <w:rPr>
          <w:color w:val="666666"/>
          <w:spacing w:val="0"/>
          <w:w w:val="100"/>
          <w:position w:val="0"/>
          <w:shd w:val="clear" w:color="auto" w:fill="auto"/>
          <w:lang w:val="ru-RU" w:eastAsia="ru-RU" w:bidi="ru-RU"/>
        </w:rPr>
        <w:t>14.05.2025</w:t>
      </w:r>
    </w:p>
    <w:p>
      <w:pPr>
        <w:pStyle w:val="Style15"/>
        <w:keepNext w:val="0"/>
        <w:keepLines w:val="0"/>
        <w:widowControl w:val="0"/>
        <w:shd w:val="clear" w:color="auto" w:fill="auto"/>
        <w:bidi w:val="0"/>
        <w:spacing w:before="0" w:after="60" w:line="240" w:lineRule="auto"/>
        <w:ind w:left="0" w:right="0" w:firstLine="0"/>
        <w:jc w:val="left"/>
      </w:pPr>
      <w:r>
        <w:rPr>
          <w:b/>
          <w:bCs/>
          <w:color w:val="000000"/>
          <w:spacing w:val="0"/>
          <w:w w:val="100"/>
          <w:position w:val="0"/>
          <w:sz w:val="24"/>
          <w:szCs w:val="24"/>
          <w:shd w:val="clear" w:color="auto" w:fill="auto"/>
          <w:lang w:val="ru-RU" w:eastAsia="ru-RU" w:bidi="ru-RU"/>
        </w:rPr>
        <w:t>Члены комиссии:</w:t>
      </w:r>
    </w:p>
    <w:p>
      <w:pPr>
        <w:pStyle w:val="Style15"/>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84" behindDoc="0" locked="0" layoutInCell="1" allowOverlap="1">
            <wp:simplePos x="0" y="0"/>
            <wp:positionH relativeFrom="page">
              <wp:posOffset>2661920</wp:posOffset>
            </wp:positionH>
            <wp:positionV relativeFrom="paragraph">
              <wp:posOffset>63500</wp:posOffset>
            </wp:positionV>
            <wp:extent cx="353695" cy="536575"/>
            <wp:wrapSquare wrapText="right"/>
            <wp:docPr id="18" name="Shape 18"/>
            <a:graphic xmlns:a="http://schemas.openxmlformats.org/drawingml/2006/main">
              <a:graphicData uri="http://schemas.openxmlformats.org/drawingml/2006/picture">
                <pic:pic xmlns:pic="http://schemas.openxmlformats.org/drawingml/2006/picture">
                  <pic:nvPicPr>
                    <pic:cNvPr id="19" name="Picture box 19"/>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3119120</wp:posOffset>
                </wp:positionH>
                <wp:positionV relativeFrom="paragraph">
                  <wp:posOffset>466090</wp:posOffset>
                </wp:positionV>
                <wp:extent cx="1280160" cy="100330"/>
                <wp:wrapNone/>
                <wp:docPr id="20" name="Shape 20"/>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6" type="#_x0000_t202" style="position:absolute;margin-left:245.59999999999999pt;margin-top:36.700000000000003pt;width:100.8pt;height:7.9000000000000004pt;z-index:251657733;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3076575</wp:posOffset>
                </wp:positionH>
                <wp:positionV relativeFrom="paragraph">
                  <wp:posOffset>151765</wp:posOffset>
                </wp:positionV>
                <wp:extent cx="1722120" cy="259080"/>
                <wp:wrapNone/>
                <wp:docPr id="22" name="Shape 22"/>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8" type="#_x0000_t202" style="position:absolute;margin-left:242.25pt;margin-top:11.950000000000001pt;width:135.59999999999999pt;height:20.400000000000002pt;z-index:251657735;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b/>
          <w:bCs/>
          <w:color w:val="000000"/>
          <w:spacing w:val="0"/>
          <w:w w:val="100"/>
          <w:position w:val="0"/>
          <w:sz w:val="24"/>
          <w:szCs w:val="24"/>
          <w:shd w:val="clear" w:color="auto" w:fill="auto"/>
          <w:lang w:val="ru-RU" w:eastAsia="ru-RU" w:bidi="ru-RU"/>
        </w:rPr>
        <w:t>М.Е. Качин</w:t>
      </w:r>
    </w:p>
    <w:p>
      <w:pPr>
        <w:pStyle w:val="Style23"/>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66666"/>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Качин Матвей Егорович</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79АВ84Е792О7423Е9295С0АОО95ЭС7Е7</w:t>
      </w:r>
    </w:p>
    <w:p>
      <w:pPr>
        <w:pStyle w:val="Style23"/>
        <w:keepNext w:val="0"/>
        <w:keepLines w:val="0"/>
        <w:widowControl w:val="0"/>
        <w:shd w:val="clear" w:color="auto" w:fill="auto"/>
        <w:bidi w:val="0"/>
        <w:spacing w:before="0" w:after="320" w:line="240" w:lineRule="auto"/>
        <w:ind w:right="0" w:firstLine="0"/>
        <w:jc w:val="left"/>
      </w:pPr>
      <w:r>
        <w:rPr>
          <w:color w:val="666666"/>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66666"/>
          <w:spacing w:val="0"/>
          <w:w w:val="100"/>
          <w:position w:val="0"/>
          <w:shd w:val="clear" w:color="auto" w:fill="auto"/>
          <w:lang w:val="ru-RU" w:eastAsia="ru-RU" w:bidi="ru-RU"/>
        </w:rPr>
        <w:t>09.01.2024 по 03.04.2025</w:t>
      </w:r>
    </w:p>
    <w:p>
      <w:pPr>
        <w:pStyle w:val="Style13"/>
        <w:keepNext/>
        <w:keepLines/>
        <w:widowControl w:val="0"/>
        <w:shd w:val="clear" w:color="auto" w:fill="auto"/>
        <w:bidi w:val="0"/>
        <w:spacing w:before="0" w:after="680" w:line="240" w:lineRule="auto"/>
        <w:ind w:left="0" w:right="0" w:firstLine="0"/>
        <w:jc w:val="right"/>
      </w:pPr>
      <w:r>
        <w:drawing>
          <wp:anchor distT="0" distB="0" distL="114300" distR="1900555" simplePos="0" relativeHeight="125829385" behindDoc="0" locked="0" layoutInCell="1" allowOverlap="1">
            <wp:simplePos x="0" y="0"/>
            <wp:positionH relativeFrom="page">
              <wp:posOffset>2661920</wp:posOffset>
            </wp:positionH>
            <wp:positionV relativeFrom="paragraph">
              <wp:posOffset>63500</wp:posOffset>
            </wp:positionV>
            <wp:extent cx="353695" cy="536575"/>
            <wp:wrapSquare wrapText="right"/>
            <wp:docPr id="24" name="Shape 24"/>
            <a:graphic xmlns:a="http://schemas.openxmlformats.org/drawingml/2006/main">
              <a:graphicData uri="http://schemas.openxmlformats.org/drawingml/2006/picture">
                <pic:pic xmlns:pic="http://schemas.openxmlformats.org/drawingml/2006/picture">
                  <pic:nvPicPr>
                    <pic:cNvPr id="25" name="Picture box 25"/>
                    <pic:cNvPicPr/>
                  </pic:nvPicPr>
                  <pic:blipFill>
                    <a:blip r:embed="rId15"/>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3119120</wp:posOffset>
                </wp:positionH>
                <wp:positionV relativeFrom="paragraph">
                  <wp:posOffset>466090</wp:posOffset>
                </wp:positionV>
                <wp:extent cx="1280160" cy="100330"/>
                <wp:wrapNone/>
                <wp:docPr id="26" name="Shape 26"/>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2" type="#_x0000_t202" style="position:absolute;margin-left:245.59999999999999pt;margin-top:36.700000000000003pt;width:100.8pt;height:7.9000000000000004pt;z-index:251657737;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3076575</wp:posOffset>
                </wp:positionH>
                <wp:positionV relativeFrom="paragraph">
                  <wp:posOffset>151765</wp:posOffset>
                </wp:positionV>
                <wp:extent cx="1722120" cy="255905"/>
                <wp:wrapNone/>
                <wp:docPr id="28" name="Shape 28"/>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54" type="#_x0000_t202" style="position:absolute;margin-left:242.25pt;margin-top:11.950000000000001pt;width:135.59999999999999pt;height:20.150000000000002pt;z-index:25165773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bookmarkStart w:id="16" w:name="bookmark16"/>
      <w:r>
        <w:rPr>
          <w:color w:val="000000"/>
          <w:spacing w:val="0"/>
          <w:w w:val="100"/>
          <w:position w:val="0"/>
          <w:sz w:val="24"/>
          <w:szCs w:val="24"/>
          <w:shd w:val="clear" w:color="auto" w:fill="auto"/>
          <w:lang w:val="ru-RU" w:eastAsia="ru-RU" w:bidi="ru-RU"/>
        </w:rPr>
        <w:t>М.А. Журавлев</w:t>
      </w:r>
      <w:bookmarkEnd w:id="16"/>
    </w:p>
    <w:p>
      <w:pPr>
        <w:pStyle w:val="Style23"/>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66666"/>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Журавлев Михаил Алексеевич</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08В5Е871В9ЕЕЮ2887ЕЕ4ВА36ОС17А75</w:t>
      </w:r>
    </w:p>
    <w:p>
      <w:pPr>
        <w:pStyle w:val="Style23"/>
        <w:keepNext w:val="0"/>
        <w:keepLines w:val="0"/>
        <w:widowControl w:val="0"/>
        <w:shd w:val="clear" w:color="auto" w:fill="auto"/>
        <w:bidi w:val="0"/>
        <w:spacing w:before="0" w:after="6620" w:line="240" w:lineRule="auto"/>
        <w:ind w:right="0" w:firstLine="0"/>
        <w:jc w:val="left"/>
      </w:pPr>
      <w:r>
        <w:rPr>
          <w:color w:val="666666"/>
          <w:spacing w:val="0"/>
          <w:w w:val="100"/>
          <w:position w:val="0"/>
          <w:shd w:val="clear" w:color="auto" w:fill="auto"/>
          <w:lang w:val="ru-RU" w:eastAsia="ru-RU" w:bidi="ru-RU"/>
        </w:rPr>
        <w:t xml:space="preserve">Действителен с </w:t>
      </w:r>
      <w:r>
        <w:rPr>
          <w:color w:val="868686"/>
          <w:spacing w:val="0"/>
          <w:w w:val="100"/>
          <w:position w:val="0"/>
          <w:shd w:val="clear" w:color="auto" w:fill="auto"/>
          <w:lang w:val="ru-RU" w:eastAsia="ru-RU" w:bidi="ru-RU"/>
        </w:rPr>
        <w:t>31</w:t>
      </w:r>
      <w:r>
        <w:rPr>
          <w:color w:val="666666"/>
          <w:spacing w:val="0"/>
          <w:w w:val="100"/>
          <w:position w:val="0"/>
          <w:shd w:val="clear" w:color="auto" w:fill="auto"/>
          <w:lang w:val="ru-RU" w:eastAsia="ru-RU" w:bidi="ru-RU"/>
        </w:rPr>
        <w:t xml:space="preserve">.07.2024 </w:t>
      </w:r>
      <w:r>
        <w:rPr>
          <w:color w:val="868686"/>
          <w:spacing w:val="0"/>
          <w:w w:val="100"/>
          <w:position w:val="0"/>
          <w:shd w:val="clear" w:color="auto" w:fill="auto"/>
          <w:lang w:val="ru-RU" w:eastAsia="ru-RU" w:bidi="ru-RU"/>
        </w:rPr>
        <w:t xml:space="preserve">по </w:t>
      </w:r>
      <w:r>
        <w:rPr>
          <w:color w:val="666666"/>
          <w:spacing w:val="0"/>
          <w:w w:val="100"/>
          <w:position w:val="0"/>
          <w:shd w:val="clear" w:color="auto" w:fill="auto"/>
          <w:lang w:val="ru-RU" w:eastAsia="ru-RU" w:bidi="ru-RU"/>
        </w:rPr>
        <w:t>24.10.2025</w:t>
      </w:r>
    </w:p>
    <w:p>
      <w:pPr>
        <w:pStyle w:val="Style15"/>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Исп.Журавлев М.А. тел.8(342)235-12-89</w:t>
      </w:r>
    </w:p>
    <w:sectPr>
      <w:footnotePr>
        <w:pos w:val="pageBottom"/>
        <w:numFmt w:val="decimal"/>
        <w:numRestart w:val="continuous"/>
      </w:footnotePr>
      <w:type w:val="continuous"/>
      <w:pgSz w:w="11900" w:h="16840"/>
      <w:pgMar w:top="1110" w:right="550"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10187305</wp:posOffset>
              </wp:positionV>
              <wp:extent cx="719455" cy="100330"/>
              <wp:wrapNone/>
              <wp:docPr id="2" name="Shape 2"/>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2024-11236</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6.950000000000003pt;margin-top:802.14999999999998pt;width:56.6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2024-11236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19455" cy="100330"/>
              <wp:wrapNone/>
              <wp:docPr id="4" name="Shape 4"/>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2024-11236</w:t>
                          </w:r>
                        </w:p>
                      </w:txbxContent>
                    </wps:txbx>
                    <wps:bodyPr wrap="none" lIns="0" tIns="0" rIns="0" bIns="0">
                      <a:spAutoFit/>
                    </wps:bodyPr>
                  </wps:wsp>
                </a:graphicData>
              </a:graphic>
            </wp:anchor>
          </w:drawing>
        </mc:Choice>
        <mc:Fallback>
          <w:pict>
            <v:shape id="_x0000_s1030" type="#_x0000_t202" style="position:absolute;margin-left:57.pt;margin-top:776.20000000000005pt;width:56.6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2024-11236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9">
    <w:name w:val="Основной текст (4)_"/>
    <w:basedOn w:val="DefaultParagraphFont"/>
    <w:link w:val="Style8"/>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11">
    <w:name w:val="Заголовок №1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4">
    <w:name w:val="Заголовок №2_"/>
    <w:basedOn w:val="DefaultParagraphFont"/>
    <w:link w:val="Style13"/>
    <w:rPr>
      <w:rFonts w:ascii="Times New Roman" w:eastAsia="Times New Roman" w:hAnsi="Times New Roman" w:cs="Times New Roman"/>
      <w:b/>
      <w:bCs/>
      <w:i w:val="0"/>
      <w:iCs w:val="0"/>
      <w:smallCaps w:val="0"/>
      <w:strike w:val="0"/>
      <w:u w:val="non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u w:val="none"/>
    </w:rPr>
  </w:style>
  <w:style w:type="character" w:customStyle="1" w:styleId="CharStyle19">
    <w:name w:val="Подпись к картинке_"/>
    <w:basedOn w:val="DefaultParagraphFont"/>
    <w:link w:val="Style18"/>
    <w:rPr>
      <w:rFonts w:ascii="Georgia" w:eastAsia="Georgia" w:hAnsi="Georgia" w:cs="Georgia"/>
      <w:b w:val="0"/>
      <w:bCs w:val="0"/>
      <w:i w:val="0"/>
      <w:iCs w:val="0"/>
      <w:smallCaps w:val="0"/>
      <w:strike w:val="0"/>
      <w:color w:val="1F1F1F"/>
      <w:sz w:val="11"/>
      <w:szCs w:val="11"/>
      <w:u w:val="none"/>
    </w:rPr>
  </w:style>
  <w:style w:type="character" w:customStyle="1" w:styleId="CharStyle24">
    <w:name w:val="Основной текст (2)_"/>
    <w:basedOn w:val="DefaultParagraphFont"/>
    <w:link w:val="Style23"/>
    <w:rPr>
      <w:rFonts w:ascii="Arial" w:eastAsia="Arial" w:hAnsi="Arial" w:cs="Arial"/>
      <w:b w:val="0"/>
      <w:bCs w:val="0"/>
      <w:i w:val="0"/>
      <w:iCs w:val="0"/>
      <w:smallCaps w:val="0"/>
      <w:strike w:val="0"/>
      <w:color w:val="404040"/>
      <w:sz w:val="12"/>
      <w:szCs w:val="1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30" w:line="269"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8">
    <w:name w:val="Основной текст (4)"/>
    <w:basedOn w:val="Normal"/>
    <w:link w:val="CharStyle9"/>
    <w:pPr>
      <w:widowControl w:val="0"/>
      <w:shd w:val="clear" w:color="auto" w:fill="auto"/>
      <w:spacing w:after="180"/>
      <w:jc w:val="center"/>
    </w:pPr>
    <w:rPr>
      <w:rFonts w:ascii="Times New Roman" w:eastAsia="Times New Roman" w:hAnsi="Times New Roman" w:cs="Times New Roman"/>
      <w:b/>
      <w:bCs/>
      <w:i w:val="0"/>
      <w:iCs w:val="0"/>
      <w:smallCaps w:val="0"/>
      <w:strike w:val="0"/>
      <w:color w:val="476198"/>
      <w:sz w:val="19"/>
      <w:szCs w:val="19"/>
      <w:u w:val="none"/>
    </w:rPr>
  </w:style>
  <w:style w:type="paragraph" w:customStyle="1" w:styleId="Style10">
    <w:name w:val="Заголовок №1"/>
    <w:basedOn w:val="Normal"/>
    <w:link w:val="CharStyle11"/>
    <w:pPr>
      <w:widowControl w:val="0"/>
      <w:shd w:val="clear" w:color="auto" w:fill="auto"/>
      <w:spacing w:after="320"/>
      <w:jc w:val="center"/>
      <w:outlineLvl w:val="0"/>
    </w:pPr>
    <w:rPr>
      <w:rFonts w:ascii="Times New Roman" w:eastAsia="Times New Roman" w:hAnsi="Times New Roman" w:cs="Times New Roman"/>
      <w:b w:val="0"/>
      <w:bCs w:val="0"/>
      <w:i w:val="0"/>
      <w:iCs w:val="0"/>
      <w:smallCaps w:val="0"/>
      <w:strike w:val="0"/>
      <w:sz w:val="30"/>
      <w:szCs w:val="30"/>
      <w:u w:val="single"/>
    </w:rPr>
  </w:style>
  <w:style w:type="paragraph" w:customStyle="1" w:styleId="Style13">
    <w:name w:val="Заголовок №2"/>
    <w:basedOn w:val="Normal"/>
    <w:link w:val="CharStyle14"/>
    <w:pPr>
      <w:widowControl w:val="0"/>
      <w:shd w:val="clear" w:color="auto" w:fill="auto"/>
      <w:outlineLvl w:val="1"/>
    </w:pPr>
    <w:rPr>
      <w:rFonts w:ascii="Times New Roman" w:eastAsia="Times New Roman" w:hAnsi="Times New Roman" w:cs="Times New Roman"/>
      <w:b/>
      <w:bCs/>
      <w:i w:val="0"/>
      <w:iCs w:val="0"/>
      <w:smallCaps w:val="0"/>
      <w:strike w:val="0"/>
      <w:u w:val="none"/>
    </w:rPr>
  </w:style>
  <w:style w:type="paragraph" w:customStyle="1" w:styleId="Style15">
    <w:name w:val="Основной текст"/>
    <w:basedOn w:val="Normal"/>
    <w:link w:val="CharStyle16"/>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8">
    <w:name w:val="Подпись к картинке"/>
    <w:basedOn w:val="Normal"/>
    <w:link w:val="CharStyle19"/>
    <w:pPr>
      <w:widowControl w:val="0"/>
      <w:shd w:val="clear" w:color="auto" w:fill="auto"/>
    </w:pPr>
    <w:rPr>
      <w:rFonts w:ascii="Georgia" w:eastAsia="Georgia" w:hAnsi="Georgia" w:cs="Georgia"/>
      <w:b w:val="0"/>
      <w:bCs w:val="0"/>
      <w:i w:val="0"/>
      <w:iCs w:val="0"/>
      <w:smallCaps w:val="0"/>
      <w:strike w:val="0"/>
      <w:color w:val="1F1F1F"/>
      <w:sz w:val="11"/>
      <w:szCs w:val="11"/>
      <w:u w:val="none"/>
    </w:rPr>
  </w:style>
  <w:style w:type="paragraph" w:customStyle="1" w:styleId="Style23">
    <w:name w:val="Основной текст (2)"/>
    <w:basedOn w:val="Normal"/>
    <w:link w:val="CharStyle24"/>
    <w:pPr>
      <w:widowControl w:val="0"/>
      <w:shd w:val="clear" w:color="auto" w:fill="auto"/>
      <w:ind w:left="3100"/>
    </w:pPr>
    <w:rPr>
      <w:rFonts w:ascii="Arial" w:eastAsia="Arial" w:hAnsi="Arial" w:cs="Arial"/>
      <w:b w:val="0"/>
      <w:bCs w:val="0"/>
      <w:i w:val="0"/>
      <w:iCs w:val="0"/>
      <w:smallCaps w:val="0"/>
      <w:strike w:val="0"/>
      <w:color w:val="40404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image" Target="media/image5.jpeg"/><Relationship Id="rId16" Type="http://schemas.openxmlformats.org/officeDocument/2006/relationships/image" Target="media/image5.jpeg" TargetMode="External"/></Relationships>
</file>