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color w:val="48629A"/>
          <w:spacing w:val="0"/>
          <w:w w:val="100"/>
          <w:position w:val="0"/>
          <w:sz w:val="17"/>
          <w:szCs w:val="17"/>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0" w:line="240" w:lineRule="auto"/>
        <w:ind w:left="0" w:right="0" w:firstLine="0"/>
        <w:jc w:val="center"/>
        <w:rPr>
          <w:sz w:val="20"/>
          <w:szCs w:val="20"/>
        </w:rPr>
      </w:pPr>
      <w:r>
        <w:rPr>
          <w:b/>
          <w:bCs/>
          <w:color w:val="48629A"/>
          <w:spacing w:val="0"/>
          <w:w w:val="100"/>
          <w:position w:val="0"/>
          <w:sz w:val="20"/>
          <w:szCs w:val="20"/>
          <w:shd w:val="clear" w:color="auto" w:fill="auto"/>
          <w:lang w:val="ru-RU" w:eastAsia="ru-RU" w:bidi="ru-RU"/>
        </w:rPr>
        <w:t>УПРАВЛЕНИЕ</w:t>
      </w:r>
    </w:p>
    <w:p>
      <w:pPr>
        <w:pStyle w:val="Style2"/>
        <w:keepNext w:val="0"/>
        <w:keepLines w:val="0"/>
        <w:widowControl w:val="0"/>
        <w:shd w:val="clear" w:color="auto" w:fill="auto"/>
        <w:bidi w:val="0"/>
        <w:spacing w:before="0" w:after="200" w:line="240" w:lineRule="auto"/>
        <w:ind w:left="0" w:right="0" w:firstLine="0"/>
        <w:jc w:val="center"/>
        <w:rPr>
          <w:sz w:val="20"/>
          <w:szCs w:val="20"/>
        </w:rPr>
      </w:pPr>
      <w:r>
        <w:rPr>
          <w:b/>
          <w:bCs/>
          <w:color w:val="48629A"/>
          <w:spacing w:val="0"/>
          <w:w w:val="100"/>
          <w:position w:val="0"/>
          <w:sz w:val="20"/>
          <w:szCs w:val="20"/>
          <w:shd w:val="clear" w:color="auto" w:fill="auto"/>
          <w:lang w:val="ru-RU" w:eastAsia="ru-RU" w:bidi="ru-RU"/>
        </w:rPr>
        <w:t>Федеральной антимонопольной службы</w:t>
        <w:br/>
        <w:t>по Ростовской области</w:t>
      </w:r>
    </w:p>
    <w:p>
      <w:pPr>
        <w:pStyle w:val="Style2"/>
        <w:keepNext w:val="0"/>
        <w:keepLines w:val="0"/>
        <w:widowControl w:val="0"/>
        <w:shd w:val="clear" w:color="auto" w:fill="auto"/>
        <w:bidi w:val="0"/>
        <w:spacing w:before="0" w:after="0" w:line="240" w:lineRule="auto"/>
        <w:ind w:left="0" w:right="0" w:firstLine="760"/>
        <w:jc w:val="left"/>
        <w:rPr>
          <w:sz w:val="16"/>
          <w:szCs w:val="16"/>
        </w:rPr>
      </w:pPr>
      <w:r>
        <w:rPr>
          <w:color w:val="48629A"/>
          <w:spacing w:val="0"/>
          <w:w w:val="100"/>
          <w:position w:val="0"/>
          <w:sz w:val="16"/>
          <w:szCs w:val="16"/>
          <w:shd w:val="clear" w:color="auto" w:fill="auto"/>
          <w:lang w:val="ru-RU" w:eastAsia="ru-RU" w:bidi="ru-RU"/>
        </w:rPr>
        <w:t>пр. Ворошиловский, 2/2, офис 403</w:t>
      </w:r>
    </w:p>
    <w:p>
      <w:pPr>
        <w:pStyle w:val="Style2"/>
        <w:keepNext w:val="0"/>
        <w:keepLines w:val="0"/>
        <w:widowControl w:val="0"/>
        <w:shd w:val="clear" w:color="auto" w:fill="auto"/>
        <w:bidi w:val="0"/>
        <w:spacing w:before="0" w:after="0" w:line="240" w:lineRule="auto"/>
        <w:ind w:left="0" w:right="0" w:firstLine="0"/>
        <w:jc w:val="center"/>
        <w:rPr>
          <w:sz w:val="16"/>
          <w:szCs w:val="16"/>
        </w:rPr>
      </w:pPr>
      <w:r>
        <w:rPr>
          <w:color w:val="48629A"/>
          <w:spacing w:val="0"/>
          <w:w w:val="100"/>
          <w:position w:val="0"/>
          <w:sz w:val="16"/>
          <w:szCs w:val="16"/>
          <w:shd w:val="clear" w:color="auto" w:fill="auto"/>
          <w:lang w:val="ru-RU" w:eastAsia="ru-RU" w:bidi="ru-RU"/>
        </w:rPr>
        <w:t>г. Ростов-на-Дону, 344006</w:t>
      </w:r>
    </w:p>
    <w:p>
      <w:pPr>
        <w:pStyle w:val="Style2"/>
        <w:keepNext w:val="0"/>
        <w:keepLines w:val="0"/>
        <w:widowControl w:val="0"/>
        <w:shd w:val="clear" w:color="auto" w:fill="auto"/>
        <w:bidi w:val="0"/>
        <w:spacing w:before="0" w:after="0" w:line="240" w:lineRule="auto"/>
        <w:ind w:left="0" w:right="0" w:firstLine="480"/>
        <w:jc w:val="left"/>
        <w:rPr>
          <w:sz w:val="16"/>
          <w:szCs w:val="16"/>
        </w:rPr>
      </w:pPr>
      <w:r>
        <w:rPr>
          <w:color w:val="48629A"/>
          <w:spacing w:val="0"/>
          <w:w w:val="100"/>
          <w:position w:val="0"/>
          <w:sz w:val="16"/>
          <w:szCs w:val="16"/>
          <w:shd w:val="clear" w:color="auto" w:fill="auto"/>
          <w:lang w:val="ru-RU" w:eastAsia="ru-RU" w:bidi="ru-RU"/>
        </w:rPr>
        <w:t>тел. (863) 263-31-04, факс (863) 240-99-59</w:t>
      </w:r>
    </w:p>
    <w:p>
      <w:pPr>
        <w:pStyle w:val="Style2"/>
        <w:keepNext w:val="0"/>
        <w:keepLines w:val="0"/>
        <w:widowControl w:val="0"/>
        <w:shd w:val="clear" w:color="auto" w:fill="auto"/>
        <w:bidi w:val="0"/>
        <w:spacing w:before="0" w:after="0" w:line="305" w:lineRule="auto"/>
        <w:ind w:left="0" w:right="0" w:firstLine="0"/>
        <w:jc w:val="center"/>
        <w:rPr>
          <w:sz w:val="16"/>
          <w:szCs w:val="16"/>
        </w:rPr>
      </w:pPr>
      <w:r>
        <w:rPr>
          <w:color w:val="48629A"/>
          <w:spacing w:val="0"/>
          <w:w w:val="100"/>
          <w:position w:val="0"/>
          <w:sz w:val="16"/>
          <w:szCs w:val="16"/>
          <w:shd w:val="clear" w:color="auto" w:fill="auto"/>
          <w:lang w:val="ru-RU" w:eastAsia="ru-RU" w:bidi="ru-RU"/>
        </w:rPr>
        <w:t>е-тай: 1о61@Га5.§оу.П1</w:t>
      </w:r>
    </w:p>
    <w:p>
      <w:pPr>
        <w:pStyle w:val="Style2"/>
        <w:keepNext w:val="0"/>
        <w:keepLines w:val="0"/>
        <w:widowControl w:val="0"/>
        <w:shd w:val="clear" w:color="auto" w:fill="auto"/>
        <w:tabs>
          <w:tab w:pos="1843" w:val="left"/>
        </w:tabs>
        <w:bidi w:val="0"/>
        <w:spacing w:before="0" w:after="260" w:line="240" w:lineRule="auto"/>
        <w:ind w:left="0" w:right="0" w:firstLine="0"/>
        <w:jc w:val="both"/>
        <w:rPr>
          <w:sz w:val="30"/>
          <w:szCs w:val="30"/>
        </w:rPr>
      </w:pPr>
      <w:r>
        <w:rPr>
          <w:color w:val="000000"/>
          <w:spacing w:val="0"/>
          <w:w w:val="100"/>
          <w:position w:val="0"/>
          <w:sz w:val="30"/>
          <w:szCs w:val="30"/>
          <w:shd w:val="clear" w:color="auto" w:fill="auto"/>
          <w:lang w:val="ru-RU" w:eastAsia="ru-RU" w:bidi="ru-RU"/>
        </w:rPr>
        <w:t>2</w:t>
      </w:r>
      <w:r>
        <w:fldChar w:fldCharType="begin"/>
      </w:r>
      <w:r>
        <w:rPr/>
        <w:instrText> HYPERLINK "file://f207ca94-a13c-4ba0-b72d-f018c9eed8f1/" </w:instrText>
      </w:r>
      <w:r>
        <w:fldChar w:fldCharType="separate"/>
      </w:r>
      <w:r>
        <w:rPr>
          <w:color w:val="000000"/>
          <w:spacing w:val="0"/>
          <w:w w:val="100"/>
          <w:position w:val="0"/>
          <w:sz w:val="30"/>
          <w:szCs w:val="30"/>
          <w:shd w:val="clear" w:color="auto" w:fill="auto"/>
          <w:lang w:val="ru-RU" w:eastAsia="ru-RU" w:bidi="ru-RU"/>
        </w:rPr>
        <w:t>5.09.2024</w:t>
        <w:tab/>
      </w:r>
      <w:r>
        <w:fldChar w:fldCharType="end"/>
      </w:r>
      <w:r>
        <w:rPr>
          <w:color w:val="000000"/>
          <w:spacing w:val="0"/>
          <w:w w:val="100"/>
          <w:position w:val="0"/>
          <w:sz w:val="30"/>
          <w:szCs w:val="30"/>
          <w:shd w:val="clear" w:color="auto" w:fill="auto"/>
          <w:lang w:val="ru-RU" w:eastAsia="ru-RU" w:bidi="ru-RU"/>
        </w:rPr>
        <w:t>№ НК/16664/24</w:t>
      </w:r>
    </w:p>
    <w:p>
      <w:pPr>
        <w:pStyle w:val="Style11"/>
        <w:keepNext w:val="0"/>
        <w:keepLines w:val="0"/>
        <w:widowControl w:val="0"/>
        <w:shd w:val="clear" w:color="auto" w:fill="auto"/>
        <w:bidi w:val="0"/>
        <w:spacing w:before="0" w:after="0" w:line="240" w:lineRule="auto"/>
        <w:ind w:left="0" w:right="0" w:firstLine="0"/>
        <w:jc w:val="left"/>
        <w:rPr>
          <w:sz w:val="19"/>
          <w:szCs w:val="19"/>
        </w:rPr>
      </w:pPr>
      <w:r>
        <w:rPr>
          <w:color w:val="48629A"/>
          <w:spacing w:val="0"/>
          <w:w w:val="100"/>
          <w:position w:val="0"/>
          <w:sz w:val="19"/>
          <w:szCs w:val="19"/>
          <w:shd w:val="clear" w:color="auto" w:fill="auto"/>
          <w:lang w:val="ru-RU" w:eastAsia="ru-RU" w:bidi="ru-RU"/>
        </w:rPr>
        <w:t xml:space="preserve">На№  от</w:t>
      </w:r>
    </w:p>
    <w:p>
      <w:pPr>
        <w:widowControl w:val="0"/>
        <w:jc w:val="center"/>
        <w:rPr>
          <w:sz w:val="2"/>
          <w:szCs w:val="2"/>
        </w:rPr>
      </w:pPr>
      <w:r>
        <w:drawing>
          <wp:inline>
            <wp:extent cx="2597150" cy="17653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2597150" cy="176530"/>
                    </a:xfrm>
                    <a:prstGeom prst="rect"/>
                  </pic:spPr>
                </pic:pic>
              </a:graphicData>
            </a:graphic>
          </wp:inline>
        </w:drawing>
      </w:r>
    </w:p>
    <w:p>
      <w:pPr>
        <w:pStyle w:val="Style1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ООО «Новый проект»</w:t>
      </w:r>
    </w:p>
    <w:p>
      <w:pPr>
        <w:pStyle w:val="Style1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(далее - Заявитель)</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ул. Тургеневская, 78 А, г. Ростов-на-Дону, 344002</w:t>
      </w:r>
    </w:p>
    <w:p>
      <w:pPr>
        <w:pStyle w:val="Style14"/>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ЕтаП: го8таП13@тЬох.ш; п1Го@пе\\рго|ес1.8и</w:t>
      </w:r>
    </w:p>
    <w:p>
      <w:pPr>
        <w:pStyle w:val="Style1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Администрация Задонского сельского поселения</w:t>
      </w:r>
    </w:p>
    <w:p>
      <w:pPr>
        <w:pStyle w:val="Style1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(далее - Заказчик)</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ул. Ленина, зд. 28А, х. Задонский,</w:t>
      </w:r>
    </w:p>
    <w:p>
      <w:pPr>
        <w:pStyle w:val="Style14"/>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Азовский район, Ростовская область, 346753</w:t>
      </w:r>
    </w:p>
    <w:p>
      <w:pPr>
        <w:pStyle w:val="Style14"/>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ЕтаП: хадоп8кое-8р@таП.ш</w:t>
      </w:r>
    </w:p>
    <w:p>
      <w:pPr>
        <w:pStyle w:val="Style1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ООО «РТС-тендер»</w:t>
      </w:r>
    </w:p>
    <w:p>
      <w:pPr>
        <w:pStyle w:val="Style14"/>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(далее - Оператор электронной площадки)</w:t>
      </w:r>
    </w:p>
    <w:p>
      <w:pPr>
        <w:pStyle w:val="Style14"/>
        <w:keepNext w:val="0"/>
        <w:keepLines w:val="0"/>
        <w:widowControl w:val="0"/>
        <w:shd w:val="clear" w:color="auto" w:fill="auto"/>
        <w:bidi w:val="0"/>
        <w:spacing w:before="0" w:after="0" w:line="240" w:lineRule="auto"/>
        <w:ind w:left="0" w:right="0" w:firstLine="0"/>
        <w:jc w:val="left"/>
        <w:sectPr>
          <w:footerReference w:type="default" r:id="rId7"/>
          <w:footerReference w:type="first" r:id="rId8"/>
          <w:footnotePr>
            <w:pos w:val="pageBottom"/>
            <w:numFmt w:val="decimal"/>
            <w:numRestart w:val="continuous"/>
          </w:footnotePr>
          <w:pgSz w:w="11900" w:h="16840"/>
          <w:pgMar w:top="1162" w:right="1386" w:bottom="1231" w:left="1236" w:header="0" w:footer="3" w:gutter="0"/>
          <w:pgNumType w:start="1"/>
          <w:cols w:num="2" w:space="720" w:equalWidth="0">
            <w:col w:w="4262" w:space="168"/>
            <w:col w:w="4848"/>
          </w:cols>
          <w:noEndnote/>
          <w:titlePg/>
          <w:rtlGutter w:val="0"/>
          <w:docGrid w:linePitch="360"/>
        </w:sectPr>
      </w:pPr>
      <w:r>
        <w:rPr>
          <w:color w:val="000000"/>
          <w:spacing w:val="0"/>
          <w:w w:val="100"/>
          <w:position w:val="0"/>
          <w:sz w:val="24"/>
          <w:szCs w:val="24"/>
          <w:shd w:val="clear" w:color="auto" w:fill="auto"/>
          <w:lang w:val="ru-RU" w:eastAsia="ru-RU" w:bidi="ru-RU"/>
        </w:rPr>
        <w:t>ЕтаП: ко@1Д8-1епдег.ш</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6" w:after="6"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29" w:right="0" w:bottom="1197" w:left="0" w:header="0" w:footer="3" w:gutter="0"/>
          <w:cols w:space="720"/>
          <w:noEndnote/>
          <w:rtlGutter w:val="0"/>
          <w:docGrid w:linePitch="360"/>
        </w:sectPr>
      </w:pPr>
    </w:p>
    <w:p>
      <w:pPr>
        <w:pStyle w:val="Style1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ru-RU" w:eastAsia="ru-RU" w:bidi="ru-RU"/>
        </w:rPr>
        <w:t>РЕШЕНИЕ</w:t>
      </w:r>
    </w:p>
    <w:p>
      <w:pPr>
        <w:pStyle w:val="Style1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ru-RU" w:eastAsia="ru-RU" w:bidi="ru-RU"/>
        </w:rPr>
        <w:t>по результатам рассмотрения дела</w:t>
        <w:br/>
        <w:t>№061/06/42-3400/2024</w:t>
      </w:r>
    </w:p>
    <w:p>
      <w:pPr>
        <w:pStyle w:val="Style14"/>
        <w:keepNext w:val="0"/>
        <w:keepLines w:val="0"/>
        <w:widowControl w:val="0"/>
        <w:shd w:val="clear" w:color="auto" w:fill="auto"/>
        <w:tabs>
          <w:tab w:pos="8522" w:val="left"/>
        </w:tabs>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23.09.2024</w:t>
        <w:tab/>
        <w:t>г. Ростов-на-Дону</w:t>
      </w:r>
    </w:p>
    <w:p>
      <w:pPr>
        <w:pStyle w:val="Style14"/>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14"/>
        <w:keepNext w:val="0"/>
        <w:keepLines w:val="0"/>
        <w:widowControl w:val="0"/>
        <w:shd w:val="clear" w:color="auto" w:fill="auto"/>
        <w:tabs>
          <w:tab w:pos="8522"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Председатель Комиссии:</w:t>
        <w:tab/>
        <w:t>Н.А. Кожемяко,</w:t>
      </w:r>
    </w:p>
    <w:p>
      <w:pPr>
        <w:pStyle w:val="Style14"/>
        <w:keepNext w:val="0"/>
        <w:keepLines w:val="0"/>
        <w:widowControl w:val="0"/>
        <w:shd w:val="clear" w:color="auto" w:fill="auto"/>
        <w:tabs>
          <w:tab w:pos="8522"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Члены Комиссии:</w:t>
        <w:tab/>
        <w:t>В.В. Лукьянова,</w:t>
      </w:r>
    </w:p>
    <w:p>
      <w:pPr>
        <w:pStyle w:val="Style14"/>
        <w:keepNext w:val="0"/>
        <w:keepLines w:val="0"/>
        <w:widowControl w:val="0"/>
        <w:shd w:val="clear" w:color="auto" w:fill="auto"/>
        <w:bidi w:val="0"/>
        <w:spacing w:before="0" w:after="60" w:line="240" w:lineRule="auto"/>
        <w:ind w:left="0" w:right="0" w:firstLine="0"/>
        <w:jc w:val="right"/>
      </w:pPr>
      <w:r>
        <w:rPr>
          <w:color w:val="000000"/>
          <w:spacing w:val="0"/>
          <w:w w:val="100"/>
          <w:position w:val="0"/>
          <w:sz w:val="24"/>
          <w:szCs w:val="24"/>
          <w:shd w:val="clear" w:color="auto" w:fill="auto"/>
          <w:lang w:val="ru-RU" w:eastAsia="ru-RU" w:bidi="ru-RU"/>
        </w:rPr>
        <w:t>А.А. Вертий,</w:t>
      </w:r>
    </w:p>
    <w:p>
      <w:pPr>
        <w:pStyle w:val="Style14"/>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рассмотрев дело №061/06/42-3400/2024 по жалобе Заявителя о нарушении Заказчиком при проведении открытого конкурса в электронной форме №0158300015424000004 «Выполнение работ по разработке проектной документации по объекту: «Строительство пешеходного моста, расположенного по адресу: Ростовская область, Азовский район, с. Самарское через реку Кагальник, пер. Кагальницкий» (далее - конкурс) норм Федерального закона от 05.04.2013 №44- 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при личном участии представителя Заявителя — Гавриленко Е.Н. (доверенность от 11.09.2024), представителя Заказчика — Скрыпиной Е.О. (доверенность от 19.09.2024),</w:t>
      </w:r>
    </w:p>
    <w:p>
      <w:pPr>
        <w:pStyle w:val="Style14"/>
        <w:keepNext w:val="0"/>
        <w:keepLines w:val="0"/>
        <w:widowControl w:val="0"/>
        <w:shd w:val="clear" w:color="auto" w:fill="auto"/>
        <w:bidi w:val="0"/>
        <w:spacing w:before="0" w:after="240" w:line="240" w:lineRule="auto"/>
        <w:ind w:left="0" w:right="0" w:firstLine="0"/>
        <w:jc w:val="center"/>
      </w:pPr>
      <w:r>
        <w:rPr>
          <w:b/>
          <w:bCs/>
          <w:color w:val="000000"/>
          <w:spacing w:val="0"/>
          <w:w w:val="100"/>
          <w:position w:val="0"/>
          <w:sz w:val="24"/>
          <w:szCs w:val="24"/>
          <w:shd w:val="clear" w:color="auto" w:fill="auto"/>
          <w:lang w:val="ru-RU" w:eastAsia="ru-RU" w:bidi="ru-RU"/>
        </w:rPr>
        <w:t>УСТАНОВИЛА:</w:t>
      </w:r>
    </w:p>
    <w:p>
      <w:pPr>
        <w:pStyle w:val="Style14"/>
        <w:keepNext w:val="0"/>
        <w:keepLines w:val="0"/>
        <w:widowControl w:val="0"/>
        <w:shd w:val="clear" w:color="auto" w:fill="auto"/>
        <w:bidi w:val="0"/>
        <w:spacing w:before="0" w:after="800" w:line="240" w:lineRule="auto"/>
        <w:ind w:left="0" w:right="0" w:firstLine="600"/>
        <w:jc w:val="both"/>
      </w:pPr>
      <w:r>
        <w:rPr>
          <w:color w:val="000000"/>
          <w:spacing w:val="0"/>
          <w:w w:val="100"/>
          <w:position w:val="0"/>
          <w:sz w:val="24"/>
          <w:szCs w:val="24"/>
          <w:shd w:val="clear" w:color="auto" w:fill="auto"/>
          <w:lang w:val="ru-RU" w:eastAsia="ru-RU" w:bidi="ru-RU"/>
        </w:rPr>
        <w:t>В Ростовское УФАС России поступила жалоба ООО «Новый проект» на действия администрации Задонского сельского поселения при разработке извещения о проведении открытого конкурса.</w:t>
      </w:r>
    </w:p>
    <w:p>
      <w:pPr>
        <w:pStyle w:val="Style2"/>
        <w:keepNext w:val="0"/>
        <w:keepLines w:val="0"/>
        <w:widowControl w:val="0"/>
        <w:shd w:val="clear" w:color="auto" w:fill="auto"/>
        <w:bidi w:val="0"/>
        <w:spacing w:before="0" w:after="240" w:line="240" w:lineRule="auto"/>
        <w:ind w:left="0" w:right="0" w:firstLine="0"/>
        <w:jc w:val="both"/>
        <w:rPr>
          <w:sz w:val="32"/>
          <w:szCs w:val="32"/>
        </w:rPr>
      </w:pPr>
      <w:r>
        <w:rPr>
          <w:rFonts w:ascii="Arial" w:eastAsia="Arial" w:hAnsi="Arial" w:cs="Arial"/>
          <w:color w:val="000000"/>
          <w:spacing w:val="0"/>
          <w:w w:val="100"/>
          <w:position w:val="0"/>
          <w:sz w:val="32"/>
          <w:szCs w:val="32"/>
          <w:shd w:val="clear" w:color="auto" w:fill="auto"/>
          <w:lang w:val="ru-RU" w:eastAsia="ru-RU" w:bidi="ru-RU"/>
        </w:rPr>
        <w:t>111111111111111111111111</w:t>
      </w:r>
    </w:p>
    <w:p>
      <w:pPr>
        <w:pStyle w:val="Style14"/>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Заказчик в возражениях на жалобу:</w:t>
      </w:r>
    </w:p>
    <w:p>
      <w:pPr>
        <w:pStyle w:val="Style14"/>
        <w:keepNext w:val="0"/>
        <w:keepLines w:val="0"/>
        <w:widowControl w:val="0"/>
        <w:numPr>
          <w:ilvl w:val="0"/>
          <w:numId w:val="1"/>
        </w:numPr>
        <w:shd w:val="clear" w:color="auto" w:fill="auto"/>
        <w:tabs>
          <w:tab w:pos="823"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отрицал нарушения Закона в действиях Заказчика при определении порядка оценки заявок на участие в конкурсе;</w:t>
      </w:r>
    </w:p>
    <w:p>
      <w:pPr>
        <w:pStyle w:val="Style14"/>
        <w:keepNext w:val="0"/>
        <w:keepLines w:val="0"/>
        <w:widowControl w:val="0"/>
        <w:numPr>
          <w:ilvl w:val="0"/>
          <w:numId w:val="1"/>
        </w:numPr>
        <w:shd w:val="clear" w:color="auto" w:fill="auto"/>
        <w:tabs>
          <w:tab w:pos="1248" w:val="left"/>
        </w:tabs>
        <w:bidi w:val="0"/>
        <w:spacing w:before="0" w:after="240" w:line="240" w:lineRule="auto"/>
        <w:ind w:left="0" w:right="0" w:firstLine="600"/>
        <w:jc w:val="both"/>
      </w:pPr>
      <w:r>
        <w:rPr>
          <w:color w:val="000000"/>
          <w:spacing w:val="0"/>
          <w:w w:val="100"/>
          <w:position w:val="0"/>
          <w:sz w:val="24"/>
          <w:szCs w:val="24"/>
          <w:shd w:val="clear" w:color="auto" w:fill="auto"/>
          <w:lang w:val="ru-RU" w:eastAsia="ru-RU" w:bidi="ru-RU"/>
        </w:rPr>
        <w:t>представил пояснения по доводу жалобы.</w:t>
      </w:r>
    </w:p>
    <w:p>
      <w:pPr>
        <w:pStyle w:val="Style14"/>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соответствии с ч.ч.1,3 ст.99 Закона, в ходе рассмотрения дела установлено следующее.</w:t>
      </w:r>
    </w:p>
    <w:p>
      <w:pPr>
        <w:pStyle w:val="Style14"/>
        <w:keepNext w:val="0"/>
        <w:keepLines w:val="0"/>
        <w:widowControl w:val="0"/>
        <w:shd w:val="clear" w:color="auto" w:fill="auto"/>
        <w:bidi w:val="0"/>
        <w:spacing w:before="0" w:after="0" w:line="283" w:lineRule="auto"/>
        <w:ind w:left="0" w:right="0" w:firstLine="600"/>
        <w:jc w:val="both"/>
      </w:pPr>
      <w:r>
        <w:rPr>
          <w:color w:val="000000"/>
          <w:spacing w:val="0"/>
          <w:w w:val="100"/>
          <w:position w:val="0"/>
          <w:sz w:val="24"/>
          <w:szCs w:val="24"/>
          <w:shd w:val="clear" w:color="auto" w:fill="auto"/>
          <w:lang w:val="ru-RU" w:eastAsia="ru-RU" w:bidi="ru-RU"/>
        </w:rPr>
        <w:t xml:space="preserve">Заказчиком в Единой информационной системе (ЕИС) на официальном сайте </w:t>
      </w:r>
      <w:r>
        <w:fldChar w:fldCharType="begin"/>
      </w:r>
      <w:r>
        <w:rPr/>
        <w:instrText> HYPERLINK "http://www.zakupki.gov.ru/" </w:instrText>
      </w:r>
      <w:r>
        <w:fldChar w:fldCharType="separate"/>
      </w:r>
      <w:r>
        <w:rPr>
          <w:smallCaps/>
          <w:color w:val="000080"/>
          <w:spacing w:val="0"/>
          <w:w w:val="100"/>
          <w:position w:val="0"/>
          <w:sz w:val="17"/>
          <w:szCs w:val="17"/>
          <w:u w:val="single"/>
          <w:shd w:val="clear" w:color="auto" w:fill="auto"/>
          <w:lang w:val="ru-RU" w:eastAsia="ru-RU" w:bidi="ru-RU"/>
        </w:rPr>
        <w:t>\у\у\у.</w:t>
      </w:r>
      <w:r>
        <w:rPr>
          <w:color w:val="000080"/>
          <w:spacing w:val="0"/>
          <w:w w:val="100"/>
          <w:position w:val="0"/>
          <w:sz w:val="24"/>
          <w:szCs w:val="24"/>
          <w:u w:val="single"/>
          <w:shd w:val="clear" w:color="auto" w:fill="auto"/>
          <w:lang w:val="ru-RU" w:eastAsia="ru-RU" w:bidi="ru-RU"/>
        </w:rPr>
        <w:t>закирк.до^ги</w:t>
      </w:r>
      <w:r>
        <w:fldChar w:fldCharType="end"/>
      </w:r>
      <w:r>
        <w:rPr>
          <w:color w:val="00008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ru-RU" w:eastAsia="ru-RU" w:bidi="ru-RU"/>
        </w:rPr>
        <w:t>05.09.2024 размещено извещение о проведении закупки, согласно которому:</w:t>
      </w:r>
    </w:p>
    <w:p>
      <w:pPr>
        <w:pStyle w:val="Style14"/>
        <w:keepNext w:val="0"/>
        <w:keepLines w:val="0"/>
        <w:widowControl w:val="0"/>
        <w:numPr>
          <w:ilvl w:val="0"/>
          <w:numId w:val="1"/>
        </w:numPr>
        <w:shd w:val="clear" w:color="auto" w:fill="auto"/>
        <w:tabs>
          <w:tab w:pos="1248"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установлены дата и время окончания подачи заявок - 16.09.2024 10:00 (МСК);</w:t>
      </w:r>
    </w:p>
    <w:p>
      <w:pPr>
        <w:pStyle w:val="Style14"/>
        <w:keepNext w:val="0"/>
        <w:keepLines w:val="0"/>
        <w:widowControl w:val="0"/>
        <w:numPr>
          <w:ilvl w:val="0"/>
          <w:numId w:val="1"/>
        </w:numPr>
        <w:shd w:val="clear" w:color="auto" w:fill="auto"/>
        <w:tabs>
          <w:tab w:pos="1248" w:val="left"/>
        </w:tabs>
        <w:bidi w:val="0"/>
        <w:spacing w:before="0" w:after="240" w:line="240" w:lineRule="auto"/>
        <w:ind w:left="0" w:right="0" w:firstLine="600"/>
        <w:jc w:val="both"/>
      </w:pPr>
      <w:r>
        <w:rPr>
          <w:color w:val="000000"/>
          <w:spacing w:val="0"/>
          <w:w w:val="100"/>
          <w:position w:val="0"/>
          <w:sz w:val="24"/>
          <w:szCs w:val="24"/>
          <w:shd w:val="clear" w:color="auto" w:fill="auto"/>
          <w:lang w:val="ru-RU" w:eastAsia="ru-RU" w:bidi="ru-RU"/>
        </w:rPr>
        <w:t>начальная (максимальная) цена контракта (НМЦК) составила 7 328 710, 00 рублей.</w:t>
      </w:r>
    </w:p>
    <w:p>
      <w:pPr>
        <w:pStyle w:val="Style14"/>
        <w:keepNext w:val="0"/>
        <w:keepLines w:val="0"/>
        <w:widowControl w:val="0"/>
        <w:numPr>
          <w:ilvl w:val="0"/>
          <w:numId w:val="3"/>
        </w:numPr>
        <w:shd w:val="clear" w:color="auto" w:fill="auto"/>
        <w:tabs>
          <w:tab w:pos="914" w:val="left"/>
        </w:tabs>
        <w:bidi w:val="0"/>
        <w:spacing w:before="0" w:after="240" w:line="240" w:lineRule="auto"/>
        <w:ind w:left="0" w:right="0" w:firstLine="600"/>
        <w:jc w:val="both"/>
      </w:pPr>
      <w:r>
        <w:rPr>
          <w:color w:val="000000"/>
          <w:spacing w:val="0"/>
          <w:w w:val="100"/>
          <w:position w:val="0"/>
          <w:sz w:val="24"/>
          <w:szCs w:val="24"/>
          <w:shd w:val="clear" w:color="auto" w:fill="auto"/>
          <w:lang w:val="ru-RU" w:eastAsia="ru-RU" w:bidi="ru-RU"/>
        </w:rPr>
        <w:t>По мнению Заявителя, определенное Заказчиком условие, что договоры (контракты), заключенные в электронной форме, должны включать в себя информацию об электронной подписи неправомерно, поскольку подтверждение наличия опыта имеется в общем доступе ЕИС.</w:t>
      </w:r>
    </w:p>
    <w:p>
      <w:pPr>
        <w:pStyle w:val="Style14"/>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Постановлением Правительства РФ от 31.12.2021 ^ 2604 утверждено положение об оценке заявок на участие в закупке товаров, работ, услуг для государственных и муниципальных нужд (далее - Положение).</w:t>
      </w:r>
    </w:p>
    <w:p>
      <w:pPr>
        <w:pStyle w:val="Style14"/>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Частью 1 ст.32 Закона установлено, что для оценки заявок участников закупки заказчик использует следующие критерии:</w:t>
      </w:r>
    </w:p>
    <w:p>
      <w:pPr>
        <w:pStyle w:val="Style14"/>
        <w:keepNext w:val="0"/>
        <w:keepLines w:val="0"/>
        <w:widowControl w:val="0"/>
        <w:numPr>
          <w:ilvl w:val="0"/>
          <w:numId w:val="3"/>
        </w:numPr>
        <w:shd w:val="clear" w:color="auto" w:fill="auto"/>
        <w:tabs>
          <w:tab w:pos="1478"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цена контракта, сумма цен единиц товара, работы, услуги;</w:t>
      </w:r>
    </w:p>
    <w:p>
      <w:pPr>
        <w:pStyle w:val="Style14"/>
        <w:keepNext w:val="0"/>
        <w:keepLines w:val="0"/>
        <w:widowControl w:val="0"/>
        <w:numPr>
          <w:ilvl w:val="0"/>
          <w:numId w:val="3"/>
        </w:numPr>
        <w:shd w:val="clear" w:color="auto" w:fill="auto"/>
        <w:tabs>
          <w:tab w:pos="1478"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расходы на эксплуатацию и ремонт товаров, использование результатов работ;</w:t>
      </w:r>
    </w:p>
    <w:p>
      <w:pPr>
        <w:pStyle w:val="Style14"/>
        <w:keepNext w:val="0"/>
        <w:keepLines w:val="0"/>
        <w:widowControl w:val="0"/>
        <w:numPr>
          <w:ilvl w:val="0"/>
          <w:numId w:val="3"/>
        </w:numPr>
        <w:shd w:val="clear" w:color="auto" w:fill="auto"/>
        <w:tabs>
          <w:tab w:pos="1478"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качественные, функциональные и экологические характеристики объекта закупки;</w:t>
      </w:r>
    </w:p>
    <w:p>
      <w:pPr>
        <w:pStyle w:val="Style14"/>
        <w:keepNext w:val="0"/>
        <w:keepLines w:val="0"/>
        <w:widowControl w:val="0"/>
        <w:numPr>
          <w:ilvl w:val="0"/>
          <w:numId w:val="3"/>
        </w:numPr>
        <w:shd w:val="clear" w:color="auto" w:fill="auto"/>
        <w:tabs>
          <w:tab w:pos="943"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pPr>
        <w:pStyle w:val="Style14"/>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силу ч.4 ст.32 Закона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pPr>
        <w:pStyle w:val="Style14"/>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соответствии с ч.8 ст.32 Закона,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pPr>
        <w:pStyle w:val="Style14"/>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Пунктом 11 ч.1 ст.42 Закона определено, что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pPr>
        <w:pStyle w:val="Style14"/>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 xml:space="preserve">Согласно п.п.3, 4 ч.2 ст.42 Закона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w:t>
      </w:r>
      <w:r>
        <w:rPr>
          <w:color w:val="000000"/>
          <w:spacing w:val="0"/>
          <w:w w:val="100"/>
          <w:position w:val="0"/>
          <w:sz w:val="24"/>
          <w:szCs w:val="24"/>
          <w:shd w:val="clear" w:color="auto" w:fill="auto"/>
          <w:lang w:val="ru-RU" w:eastAsia="ru-RU" w:bidi="ru-RU"/>
        </w:rPr>
        <w:t>требования к содержанию, составу заявки на участие в закупке в соответствии с настоящим Федеральным законом и инструкция по ее заполнению.</w:t>
      </w:r>
    </w:p>
    <w:p>
      <w:pPr>
        <w:pStyle w:val="Style14"/>
        <w:keepNext w:val="0"/>
        <w:keepLines w:val="0"/>
        <w:widowControl w:val="0"/>
        <w:shd w:val="clear" w:color="auto" w:fill="auto"/>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Как установлено пунктом 3 Положения, для оценки заявок в соответствии с настоящим Положением применяются следующие критерии оценки:</w:t>
      </w:r>
    </w:p>
    <w:p>
      <w:pPr>
        <w:pStyle w:val="Style14"/>
        <w:keepNext w:val="0"/>
        <w:keepLines w:val="0"/>
        <w:widowControl w:val="0"/>
        <w:numPr>
          <w:ilvl w:val="0"/>
          <w:numId w:val="5"/>
        </w:numPr>
        <w:shd w:val="clear" w:color="auto" w:fill="auto"/>
        <w:tabs>
          <w:tab w:pos="1028" w:val="left"/>
        </w:tabs>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цена контракта, сумма цен единиц товара, работы, услуги;</w:t>
      </w:r>
    </w:p>
    <w:p>
      <w:pPr>
        <w:pStyle w:val="Style14"/>
        <w:keepNext w:val="0"/>
        <w:keepLines w:val="0"/>
        <w:widowControl w:val="0"/>
        <w:numPr>
          <w:ilvl w:val="0"/>
          <w:numId w:val="5"/>
        </w:numPr>
        <w:shd w:val="clear" w:color="auto" w:fill="auto"/>
        <w:tabs>
          <w:tab w:pos="1042" w:val="left"/>
        </w:tabs>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расходы;</w:t>
      </w:r>
    </w:p>
    <w:p>
      <w:pPr>
        <w:pStyle w:val="Style14"/>
        <w:keepNext w:val="0"/>
        <w:keepLines w:val="0"/>
        <w:widowControl w:val="0"/>
        <w:numPr>
          <w:ilvl w:val="0"/>
          <w:numId w:val="5"/>
        </w:numPr>
        <w:shd w:val="clear" w:color="auto" w:fill="auto"/>
        <w:tabs>
          <w:tab w:pos="1038" w:val="left"/>
        </w:tabs>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характеристики объекта закупки;</w:t>
      </w:r>
    </w:p>
    <w:p>
      <w:pPr>
        <w:pStyle w:val="Style14"/>
        <w:keepNext w:val="0"/>
        <w:keepLines w:val="0"/>
        <w:widowControl w:val="0"/>
        <w:numPr>
          <w:ilvl w:val="0"/>
          <w:numId w:val="5"/>
        </w:numPr>
        <w:shd w:val="clear" w:color="auto" w:fill="auto"/>
        <w:tabs>
          <w:tab w:pos="1023" w:val="left"/>
        </w:tabs>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квалификация участников закупки.</w:t>
      </w:r>
    </w:p>
    <w:p>
      <w:pPr>
        <w:pStyle w:val="Style14"/>
        <w:keepNext w:val="0"/>
        <w:keepLines w:val="0"/>
        <w:widowControl w:val="0"/>
        <w:shd w:val="clear" w:color="auto" w:fill="auto"/>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В силу п.8 Положения в случае применения показателей оценки по критериям оценки, предусмотренным подпунктами "в" и "г" пункта 3 настоящего Положения:</w:t>
      </w:r>
    </w:p>
    <w:p>
      <w:pPr>
        <w:pStyle w:val="Style14"/>
        <w:keepNext w:val="0"/>
        <w:keepLines w:val="0"/>
        <w:widowControl w:val="0"/>
        <w:numPr>
          <w:ilvl w:val="0"/>
          <w:numId w:val="7"/>
        </w:numPr>
        <w:shd w:val="clear" w:color="auto" w:fill="auto"/>
        <w:tabs>
          <w:tab w:pos="1028" w:val="left"/>
        </w:tabs>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применяются детализирующие показатели;</w:t>
      </w:r>
    </w:p>
    <w:p>
      <w:pPr>
        <w:pStyle w:val="Style14"/>
        <w:keepNext w:val="0"/>
        <w:keepLines w:val="0"/>
        <w:widowControl w:val="0"/>
        <w:numPr>
          <w:ilvl w:val="0"/>
          <w:numId w:val="7"/>
        </w:numPr>
        <w:shd w:val="clear" w:color="auto" w:fill="auto"/>
        <w:tabs>
          <w:tab w:pos="958" w:val="left"/>
        </w:tabs>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pPr>
        <w:pStyle w:val="Style14"/>
        <w:keepNext w:val="0"/>
        <w:keepLines w:val="0"/>
        <w:widowControl w:val="0"/>
        <w:numPr>
          <w:ilvl w:val="0"/>
          <w:numId w:val="7"/>
        </w:numPr>
        <w:shd w:val="clear" w:color="auto" w:fill="auto"/>
        <w:tabs>
          <w:tab w:pos="949" w:val="left"/>
        </w:tabs>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pPr>
        <w:pStyle w:val="Style14"/>
        <w:keepNext w:val="0"/>
        <w:keepLines w:val="0"/>
        <w:widowControl w:val="0"/>
        <w:shd w:val="clear" w:color="auto" w:fill="auto"/>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Согласно п.24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pPr>
        <w:pStyle w:val="Style14"/>
        <w:keepNext w:val="0"/>
        <w:keepLines w:val="0"/>
        <w:widowControl w:val="0"/>
        <w:numPr>
          <w:ilvl w:val="0"/>
          <w:numId w:val="9"/>
        </w:numPr>
        <w:shd w:val="clear" w:color="auto" w:fill="auto"/>
        <w:tabs>
          <w:tab w:pos="1028" w:val="left"/>
        </w:tabs>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наличие у участников закупки финансовых ресурсов;</w:t>
      </w:r>
    </w:p>
    <w:p>
      <w:pPr>
        <w:pStyle w:val="Style14"/>
        <w:keepNext w:val="0"/>
        <w:keepLines w:val="0"/>
        <w:widowControl w:val="0"/>
        <w:numPr>
          <w:ilvl w:val="0"/>
          <w:numId w:val="9"/>
        </w:numPr>
        <w:shd w:val="clear" w:color="auto" w:fill="auto"/>
        <w:tabs>
          <w:tab w:pos="954" w:val="left"/>
        </w:tabs>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наличие у участников закупки на праве собственности или ином законном основании оборудования и других материальных ресурсов;</w:t>
      </w:r>
    </w:p>
    <w:p>
      <w:pPr>
        <w:pStyle w:val="Style14"/>
        <w:keepNext w:val="0"/>
        <w:keepLines w:val="0"/>
        <w:widowControl w:val="0"/>
        <w:numPr>
          <w:ilvl w:val="0"/>
          <w:numId w:val="9"/>
        </w:numPr>
        <w:shd w:val="clear" w:color="auto" w:fill="auto"/>
        <w:tabs>
          <w:tab w:pos="949" w:val="left"/>
        </w:tabs>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наличие у участников закупки опыта поставки товара, выполнения работы, оказания услуги, связанного с предметом контракта;</w:t>
      </w:r>
    </w:p>
    <w:p>
      <w:pPr>
        <w:pStyle w:val="Style14"/>
        <w:keepNext w:val="0"/>
        <w:keepLines w:val="0"/>
        <w:widowControl w:val="0"/>
        <w:numPr>
          <w:ilvl w:val="0"/>
          <w:numId w:val="9"/>
        </w:numPr>
        <w:shd w:val="clear" w:color="auto" w:fill="auto"/>
        <w:tabs>
          <w:tab w:pos="1023" w:val="left"/>
        </w:tabs>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наличие у участников закупки деловой репутации;</w:t>
      </w:r>
    </w:p>
    <w:p>
      <w:pPr>
        <w:pStyle w:val="Style14"/>
        <w:keepNext w:val="0"/>
        <w:keepLines w:val="0"/>
        <w:widowControl w:val="0"/>
        <w:numPr>
          <w:ilvl w:val="0"/>
          <w:numId w:val="9"/>
        </w:numPr>
        <w:shd w:val="clear" w:color="auto" w:fill="auto"/>
        <w:tabs>
          <w:tab w:pos="954" w:val="left"/>
        </w:tabs>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наличие у участников закупки специалистов и иных работников определенного уровня квалификации.</w:t>
      </w:r>
    </w:p>
    <w:p>
      <w:pPr>
        <w:pStyle w:val="Style14"/>
        <w:keepNext w:val="0"/>
        <w:keepLines w:val="0"/>
        <w:widowControl w:val="0"/>
        <w:shd w:val="clear" w:color="auto" w:fill="auto"/>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Как определено п.25 Положения, для оценки заявок по показателям оценки, предусмотренным пунктом 24 настоящего Положения, применяются детализирующие показатели.</w:t>
      </w:r>
    </w:p>
    <w:p>
      <w:pPr>
        <w:pStyle w:val="Style14"/>
        <w:keepNext w:val="0"/>
        <w:keepLines w:val="0"/>
        <w:widowControl w:val="0"/>
        <w:shd w:val="clear" w:color="auto" w:fill="auto"/>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В соответствии с п.28 Положения, в случае применения показателя оценки, предусмотренного подпунктом "в" пункта 24 настоящего Положения:</w:t>
      </w:r>
    </w:p>
    <w:p>
      <w:pPr>
        <w:pStyle w:val="Style14"/>
        <w:keepNext w:val="0"/>
        <w:keepLines w:val="0"/>
        <w:widowControl w:val="0"/>
        <w:numPr>
          <w:ilvl w:val="0"/>
          <w:numId w:val="11"/>
        </w:numPr>
        <w:shd w:val="clear" w:color="auto" w:fill="auto"/>
        <w:tabs>
          <w:tab w:pos="1028" w:val="left"/>
        </w:tabs>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применяются один или несколько из следующих детализирующих показателей оценки:</w:t>
      </w:r>
    </w:p>
    <w:p>
      <w:pPr>
        <w:pStyle w:val="Style14"/>
        <w:keepNext w:val="0"/>
        <w:keepLines w:val="0"/>
        <w:widowControl w:val="0"/>
        <w:shd w:val="clear" w:color="auto" w:fill="auto"/>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общая цена исполненных участником закупки договоров;</w:t>
      </w:r>
    </w:p>
    <w:p>
      <w:pPr>
        <w:pStyle w:val="Style14"/>
        <w:keepNext w:val="0"/>
        <w:keepLines w:val="0"/>
        <w:widowControl w:val="0"/>
        <w:shd w:val="clear" w:color="auto" w:fill="auto"/>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общее количество исполненных участником закупки договоров;</w:t>
      </w:r>
    </w:p>
    <w:p>
      <w:pPr>
        <w:pStyle w:val="Style14"/>
        <w:keepNext w:val="0"/>
        <w:keepLines w:val="0"/>
        <w:widowControl w:val="0"/>
        <w:shd w:val="clear" w:color="auto" w:fill="auto"/>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наибольшая цена одного из исполненных участником закупки договоров;</w:t>
      </w:r>
    </w:p>
    <w:p>
      <w:pPr>
        <w:pStyle w:val="Style14"/>
        <w:keepNext w:val="0"/>
        <w:keepLines w:val="0"/>
        <w:widowControl w:val="0"/>
        <w:numPr>
          <w:ilvl w:val="0"/>
          <w:numId w:val="11"/>
        </w:numPr>
        <w:shd w:val="clear" w:color="auto" w:fill="auto"/>
        <w:tabs>
          <w:tab w:pos="954" w:val="left"/>
        </w:tabs>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оценка заявок по детализирующим показателям, предусмотренным подпунктом "а" настоящего пункта, осуществляется в порядке, установленном пунктом 20 настоящего Положения;</w:t>
      </w:r>
    </w:p>
    <w:p>
      <w:pPr>
        <w:pStyle w:val="Style14"/>
        <w:keepNext w:val="0"/>
        <w:keepLines w:val="0"/>
        <w:widowControl w:val="0"/>
        <w:numPr>
          <w:ilvl w:val="0"/>
          <w:numId w:val="11"/>
        </w:numPr>
        <w:shd w:val="clear" w:color="auto" w:fill="auto"/>
        <w:tabs>
          <w:tab w:pos="1038" w:val="left"/>
        </w:tabs>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документом, предусмотренным приложением ^ 1 к настоящему Положению:</w:t>
      </w:r>
    </w:p>
    <w:p>
      <w:pPr>
        <w:pStyle w:val="Style14"/>
        <w:keepNext w:val="0"/>
        <w:keepLines w:val="0"/>
        <w:widowControl w:val="0"/>
        <w:shd w:val="clear" w:color="auto" w:fill="auto"/>
        <w:bidi w:val="0"/>
        <w:spacing w:before="0" w:after="0" w:line="240" w:lineRule="auto"/>
        <w:ind w:left="0" w:right="0" w:firstLine="660"/>
        <w:jc w:val="both"/>
      </w:pPr>
      <w:r>
        <w:rPr>
          <w:color w:val="000000"/>
          <w:spacing w:val="0"/>
          <w:w w:val="100"/>
          <w:position w:val="0"/>
          <w:sz w:val="24"/>
          <w:szCs w:val="24"/>
          <w:u w:val="single"/>
          <w:shd w:val="clear" w:color="auto" w:fill="auto"/>
          <w:lang w:val="ru-RU" w:eastAsia="ru-RU" w:bidi="ru-RU"/>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r>
        <w:rPr>
          <w:color w:val="000000"/>
          <w:spacing w:val="0"/>
          <w:w w:val="100"/>
          <w:position w:val="0"/>
          <w:sz w:val="24"/>
          <w:szCs w:val="24"/>
          <w:shd w:val="clear" w:color="auto" w:fill="auto"/>
          <w:lang w:val="ru-RU" w:eastAsia="ru-RU" w:bidi="ru-RU"/>
        </w:rPr>
        <w:t>;</w:t>
      </w:r>
    </w:p>
    <w:p>
      <w:pPr>
        <w:pStyle w:val="Style14"/>
        <w:keepNext w:val="0"/>
        <w:keepLines w:val="0"/>
        <w:widowControl w:val="0"/>
        <w:shd w:val="clear" w:color="auto" w:fill="auto"/>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pPr>
        <w:pStyle w:val="Style14"/>
        <w:keepNext w:val="0"/>
        <w:keepLines w:val="0"/>
        <w:widowControl w:val="0"/>
        <w:shd w:val="clear" w:color="auto" w:fill="auto"/>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pPr>
        <w:pStyle w:val="Style14"/>
        <w:keepNext w:val="0"/>
        <w:keepLines w:val="0"/>
        <w:widowControl w:val="0"/>
        <w:numPr>
          <w:ilvl w:val="0"/>
          <w:numId w:val="11"/>
        </w:numPr>
        <w:shd w:val="clear" w:color="auto" w:fill="auto"/>
        <w:tabs>
          <w:tab w:pos="934" w:val="left"/>
        </w:tabs>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 xml:space="preserve">последний акт, составленный при исполнении договора и предусмотренный абзацем третьим подпункта "в" настоящего пункта, должен быть подписан не ранее чем за 5 лет до даты </w:t>
      </w:r>
      <w:r>
        <w:rPr>
          <w:color w:val="000000"/>
          <w:spacing w:val="0"/>
          <w:w w:val="100"/>
          <w:position w:val="0"/>
          <w:sz w:val="24"/>
          <w:szCs w:val="24"/>
          <w:shd w:val="clear" w:color="auto" w:fill="auto"/>
          <w:lang w:val="ru-RU" w:eastAsia="ru-RU" w:bidi="ru-RU"/>
        </w:rPr>
        <w:t>окончания срока подачи заявок;</w:t>
      </w:r>
    </w:p>
    <w:p>
      <w:pPr>
        <w:pStyle w:val="Style14"/>
        <w:keepNext w:val="0"/>
        <w:keepLines w:val="0"/>
        <w:widowControl w:val="0"/>
        <w:numPr>
          <w:ilvl w:val="0"/>
          <w:numId w:val="11"/>
        </w:numPr>
        <w:shd w:val="clear" w:color="auto" w:fill="auto"/>
        <w:tabs>
          <w:tab w:pos="958" w:val="left"/>
        </w:tabs>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w:t>
      </w:r>
    </w:p>
    <w:p>
      <w:pPr>
        <w:pStyle w:val="Style14"/>
        <w:keepNext w:val="0"/>
        <w:keepLines w:val="0"/>
        <w:widowControl w:val="0"/>
        <w:numPr>
          <w:ilvl w:val="0"/>
          <w:numId w:val="11"/>
        </w:numPr>
        <w:shd w:val="clear" w:color="auto" w:fill="auto"/>
        <w:tabs>
          <w:tab w:pos="944" w:val="left"/>
        </w:tabs>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 xml:space="preserve">к оценке принимаются документы, предусмотренные абзацем третьим подпункта "в" настоящего пункта, в случае их представления в заявке в полном объеме и со всеми приложениями, за исключением случаев, предусмотренных подпунктом "д" пункта 31, подпунктом "г" пункта 32 и подпунктом "г" пункта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w:t>
      </w:r>
      <w:r>
        <w:rPr>
          <w:color w:val="000000"/>
          <w:spacing w:val="0"/>
          <w:w w:val="100"/>
          <w:position w:val="0"/>
          <w:sz w:val="24"/>
          <w:szCs w:val="24"/>
          <w:shd w:val="clear" w:color="auto" w:fill="auto"/>
          <w:lang w:val="ru-RU" w:eastAsia="ru-RU" w:bidi="ru-RU"/>
        </w:rPr>
        <w:t>заверенные участником закупки их копии.</w:t>
      </w:r>
    </w:p>
    <w:p>
      <w:pPr>
        <w:pStyle w:val="Style14"/>
        <w:keepNext w:val="0"/>
        <w:keepLines w:val="0"/>
        <w:widowControl w:val="0"/>
        <w:shd w:val="clear" w:color="auto" w:fill="auto"/>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Комиссией установлено, что в соответствии с требованиями ст.32 Закона и Положения Заказчиком определен следующий порядок оценки по показателю оценки «Наличие у участников закупки опыта работы, связанного с предметом контракта»:</w:t>
      </w:r>
    </w:p>
    <w:p>
      <w:pPr>
        <w:pStyle w:val="Style14"/>
        <w:keepNext w:val="0"/>
        <w:keepLines w:val="0"/>
        <w:widowControl w:val="0"/>
        <w:shd w:val="clear" w:color="auto" w:fill="auto"/>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w:t>
      </w:r>
      <w:r>
        <w:rPr>
          <w:i/>
          <w:iCs/>
          <w:color w:val="000000"/>
          <w:spacing w:val="0"/>
          <w:w w:val="100"/>
          <w:position w:val="0"/>
          <w:sz w:val="24"/>
          <w:szCs w:val="24"/>
          <w:shd w:val="clear" w:color="auto" w:fill="auto"/>
          <w:lang w:val="ru-RU" w:eastAsia="ru-RU" w:bidi="ru-RU"/>
        </w:rPr>
        <w:t>Оценка производится в соответствии с подпунктом «б» пункта 20 Положения, по формуле:</w:t>
      </w:r>
    </w:p>
    <w:p>
      <w:pPr>
        <w:pStyle w:val="Style14"/>
        <w:keepNext w:val="0"/>
        <w:keepLines w:val="0"/>
        <w:widowControl w:val="0"/>
        <w:shd w:val="clear" w:color="auto" w:fill="auto"/>
        <w:tabs>
          <w:tab w:pos="3821" w:val="left"/>
        </w:tabs>
        <w:bidi w:val="0"/>
        <w:spacing w:before="0" w:after="0" w:line="240" w:lineRule="auto"/>
        <w:ind w:left="0" w:right="0" w:firstLine="840"/>
        <w:jc w:val="both"/>
        <w:rPr>
          <w:sz w:val="26"/>
          <w:szCs w:val="26"/>
        </w:rPr>
      </w:pPr>
      <w:r>
        <w:rPr>
          <w:color w:val="000000"/>
          <w:spacing w:val="0"/>
          <w:w w:val="100"/>
          <w:position w:val="0"/>
          <w:sz w:val="26"/>
          <w:szCs w:val="26"/>
          <w:shd w:val="clear" w:color="auto" w:fill="auto"/>
          <w:lang w:val="ru-RU" w:eastAsia="ru-RU" w:bidi="ru-RU"/>
        </w:rPr>
        <w:t xml:space="preserve">БХ= </w:t>
      </w:r>
      <w:r>
        <w:rPr>
          <w:color w:val="000000"/>
          <w:spacing w:val="0"/>
          <w:w w:val="100"/>
          <w:position w:val="0"/>
          <w:sz w:val="38"/>
          <w:szCs w:val="38"/>
          <w:shd w:val="clear" w:color="auto" w:fill="auto"/>
          <w:lang w:val="ru-RU" w:eastAsia="ru-RU" w:bidi="ru-RU"/>
        </w:rPr>
        <w:t>(</w:t>
      </w:r>
      <w:r>
        <w:rPr>
          <w:color w:val="000000"/>
          <w:spacing w:val="0"/>
          <w:w w:val="100"/>
          <w:position w:val="0"/>
          <w:sz w:val="26"/>
          <w:szCs w:val="26"/>
          <w:shd w:val="clear" w:color="auto" w:fill="auto"/>
          <w:lang w:val="ru-RU" w:eastAsia="ru-RU" w:bidi="ru-RU"/>
        </w:rPr>
        <w:t>Х-Х</w:t>
      </w:r>
      <w:r>
        <w:rPr>
          <w:rFonts w:ascii="Arial" w:eastAsia="Arial" w:hAnsi="Arial" w:cs="Arial"/>
          <w:color w:val="000000"/>
          <w:spacing w:val="0"/>
          <w:w w:val="100"/>
          <w:position w:val="0"/>
          <w:sz w:val="11"/>
          <w:szCs w:val="11"/>
          <w:shd w:val="clear" w:color="auto" w:fill="auto"/>
          <w:lang w:val="ru-RU" w:eastAsia="ru-RU" w:bidi="ru-RU"/>
        </w:rPr>
        <w:t>тп</w:t>
      </w:r>
      <w:r>
        <w:rPr>
          <w:color w:val="000000"/>
          <w:spacing w:val="0"/>
          <w:w w:val="100"/>
          <w:position w:val="0"/>
          <w:sz w:val="38"/>
          <w:szCs w:val="38"/>
          <w:shd w:val="clear" w:color="auto" w:fill="auto"/>
          <w:lang w:val="ru-RU" w:eastAsia="ru-RU" w:bidi="ru-RU"/>
        </w:rPr>
        <w:t xml:space="preserve">) </w:t>
      </w:r>
      <w:r>
        <w:rPr>
          <w:strike/>
          <w:color w:val="000000"/>
          <w:spacing w:val="0"/>
          <w:w w:val="100"/>
          <w:position w:val="0"/>
          <w:sz w:val="26"/>
          <w:szCs w:val="26"/>
          <w:shd w:val="clear" w:color="auto" w:fill="auto"/>
          <w:lang w:val="ru-RU" w:eastAsia="ru-RU" w:bidi="ru-RU"/>
        </w:rPr>
        <w:t xml:space="preserve">Х </w:t>
      </w:r>
      <w:r>
        <w:rPr>
          <w:strike/>
          <w:color w:val="000000"/>
          <w:spacing w:val="0"/>
          <w:w w:val="100"/>
          <w:position w:val="0"/>
          <w:sz w:val="42"/>
          <w:szCs w:val="42"/>
          <w:shd w:val="clear" w:color="auto" w:fill="auto"/>
          <w:vertAlign w:val="superscript"/>
          <w:lang w:val="ru-RU" w:eastAsia="ru-RU" w:bidi="ru-RU"/>
        </w:rPr>
        <w:t>1100</w:t>
      </w:r>
      <w:r>
        <w:rPr>
          <w:color w:val="000000"/>
          <w:spacing w:val="0"/>
          <w:w w:val="100"/>
          <w:position w:val="0"/>
          <w:sz w:val="26"/>
          <w:szCs w:val="26"/>
          <w:shd w:val="clear" w:color="auto" w:fill="auto"/>
          <w:lang w:val="ru-RU" w:eastAsia="ru-RU" w:bidi="ru-RU"/>
        </w:rPr>
        <w:tab/>
        <w:t>;</w:t>
      </w:r>
    </w:p>
    <w:p>
      <w:pPr>
        <w:pStyle w:val="Style2"/>
        <w:keepNext w:val="0"/>
        <w:keepLines w:val="0"/>
        <w:widowControl w:val="0"/>
        <w:shd w:val="clear" w:color="auto" w:fill="auto"/>
        <w:tabs>
          <w:tab w:pos="3541" w:val="left"/>
        </w:tabs>
        <w:bidi w:val="0"/>
        <w:spacing w:before="0" w:after="0" w:line="240" w:lineRule="auto"/>
        <w:ind w:left="2960" w:right="0" w:firstLine="0"/>
        <w:jc w:val="left"/>
        <w:rPr>
          <w:sz w:val="11"/>
          <w:szCs w:val="11"/>
        </w:rPr>
      </w:pPr>
      <w:r>
        <w:rPr>
          <w:rFonts w:ascii="Arial" w:eastAsia="Arial" w:hAnsi="Arial" w:cs="Arial"/>
          <w:color w:val="000000"/>
          <w:spacing w:val="0"/>
          <w:w w:val="100"/>
          <w:position w:val="0"/>
          <w:sz w:val="11"/>
          <w:szCs w:val="11"/>
          <w:shd w:val="clear" w:color="auto" w:fill="auto"/>
          <w:lang w:val="ru-RU" w:eastAsia="ru-RU" w:bidi="ru-RU"/>
        </w:rPr>
        <w:t>1пах</w:t>
        <w:tab/>
        <w:t>1пт</w:t>
      </w:r>
    </w:p>
    <w:p>
      <w:pPr>
        <w:pStyle w:val="Style14"/>
        <w:keepNext w:val="0"/>
        <w:keepLines w:val="0"/>
        <w:widowControl w:val="0"/>
        <w:shd w:val="clear" w:color="auto" w:fill="auto"/>
        <w:bidi w:val="0"/>
        <w:spacing w:before="0" w:after="0" w:line="240" w:lineRule="auto"/>
        <w:ind w:left="0" w:right="0" w:firstLine="660"/>
        <w:jc w:val="both"/>
      </w:pPr>
      <w:r>
        <w:rPr>
          <w:i/>
          <w:iCs/>
          <w:color w:val="000000"/>
          <w:spacing w:val="0"/>
          <w:w w:val="100"/>
          <w:position w:val="0"/>
          <w:sz w:val="24"/>
          <w:szCs w:val="24"/>
          <w:shd w:val="clear" w:color="auto" w:fill="auto"/>
          <w:lang w:val="ru-RU" w:eastAsia="ru-RU" w:bidi="ru-RU"/>
        </w:rPr>
        <w:t>Х</w:t>
      </w:r>
      <w:r>
        <w:rPr>
          <w:i/>
          <w:iCs/>
          <w:color w:val="000000"/>
          <w:spacing w:val="0"/>
          <w:w w:val="100"/>
          <w:position w:val="0"/>
          <w:sz w:val="24"/>
          <w:szCs w:val="24"/>
          <w:shd w:val="clear" w:color="auto" w:fill="auto"/>
          <w:vertAlign w:val="subscript"/>
          <w:lang w:val="ru-RU" w:eastAsia="ru-RU" w:bidi="ru-RU"/>
        </w:rPr>
        <w:t>тах</w:t>
      </w:r>
      <w:r>
        <w:rPr>
          <w:i/>
          <w:iCs/>
          <w:color w:val="000000"/>
          <w:spacing w:val="0"/>
          <w:w w:val="100"/>
          <w:position w:val="0"/>
          <w:sz w:val="24"/>
          <w:szCs w:val="24"/>
          <w:shd w:val="clear" w:color="auto" w:fill="auto"/>
          <w:lang w:val="ru-RU" w:eastAsia="ru-RU" w:bidi="ru-RU"/>
        </w:rPr>
        <w:t xml:space="preserve"> - максимальное значение характеристики объекта закупки, содержащееся в заявках (частях заявок), подлежащих в соответствии с Федеральным законом оценке по критерию оценки «характеристики объекта закупки»;</w:t>
      </w:r>
    </w:p>
    <w:p>
      <w:pPr>
        <w:pStyle w:val="Style14"/>
        <w:keepNext w:val="0"/>
        <w:keepLines w:val="0"/>
        <w:widowControl w:val="0"/>
        <w:shd w:val="clear" w:color="auto" w:fill="auto"/>
        <w:bidi w:val="0"/>
        <w:spacing w:before="0" w:after="0" w:line="240" w:lineRule="auto"/>
        <w:ind w:left="0" w:right="0" w:firstLine="660"/>
        <w:jc w:val="both"/>
      </w:pPr>
      <w:r>
        <w:rPr>
          <w:i/>
          <w:iCs/>
          <w:color w:val="000000"/>
          <w:spacing w:val="0"/>
          <w:w w:val="100"/>
          <w:position w:val="0"/>
          <w:sz w:val="24"/>
          <w:szCs w:val="24"/>
          <w:shd w:val="clear" w:color="auto" w:fill="auto"/>
          <w:lang w:val="ru-RU" w:eastAsia="ru-RU" w:bidi="ru-RU"/>
        </w:rPr>
        <w:t>Х^ - значение характеристики объекта закупки, содержащееся в предложении участника закупки, заявка (часть заявки) которого подлежит оценке по критерию оценки;</w:t>
      </w:r>
    </w:p>
    <w:p>
      <w:pPr>
        <w:pStyle w:val="Style14"/>
        <w:keepNext w:val="0"/>
        <w:keepLines w:val="0"/>
        <w:widowControl w:val="0"/>
        <w:shd w:val="clear" w:color="auto" w:fill="auto"/>
        <w:bidi w:val="0"/>
        <w:spacing w:before="0" w:after="0" w:line="240" w:lineRule="auto"/>
        <w:ind w:left="0" w:right="0" w:firstLine="660"/>
        <w:jc w:val="both"/>
      </w:pPr>
      <w:r>
        <w:rPr>
          <w:i/>
          <w:iCs/>
          <w:color w:val="000000"/>
          <w:spacing w:val="0"/>
          <w:w w:val="100"/>
          <w:position w:val="0"/>
          <w:sz w:val="24"/>
          <w:szCs w:val="24"/>
          <w:shd w:val="clear" w:color="auto" w:fill="auto"/>
          <w:lang w:val="ru-RU" w:eastAsia="ru-RU" w:bidi="ru-RU"/>
        </w:rPr>
        <w:t>Х</w:t>
      </w:r>
      <w:r>
        <w:rPr>
          <w:i/>
          <w:iCs/>
          <w:color w:val="000000"/>
          <w:spacing w:val="0"/>
          <w:w w:val="100"/>
          <w:position w:val="0"/>
          <w:sz w:val="24"/>
          <w:szCs w:val="24"/>
          <w:shd w:val="clear" w:color="auto" w:fill="auto"/>
          <w:vertAlign w:val="subscript"/>
          <w:lang w:val="ru-RU" w:eastAsia="ru-RU" w:bidi="ru-RU"/>
        </w:rPr>
        <w:t>тП</w:t>
      </w:r>
      <w:r>
        <w:rPr>
          <w:i/>
          <w:iCs/>
          <w:color w:val="000000"/>
          <w:spacing w:val="0"/>
          <w:w w:val="100"/>
          <w:position w:val="0"/>
          <w:sz w:val="24"/>
          <w:szCs w:val="24"/>
          <w:shd w:val="clear" w:color="auto" w:fill="auto"/>
          <w:lang w:val="ru-RU" w:eastAsia="ru-RU" w:bidi="ru-RU"/>
        </w:rPr>
        <w:t xml:space="preserve"> - минимальное значение характеристики объекта закупки, содержащееся в заявках (частях заявок), подлежащих оценке по критерию оценки.</w:t>
      </w:r>
      <w:r>
        <w:rPr>
          <w:color w:val="000000"/>
          <w:spacing w:val="0"/>
          <w:w w:val="100"/>
          <w:position w:val="0"/>
          <w:sz w:val="24"/>
          <w:szCs w:val="24"/>
          <w:shd w:val="clear" w:color="auto" w:fill="auto"/>
          <w:lang w:val="ru-RU" w:eastAsia="ru-RU" w:bidi="ru-RU"/>
        </w:rPr>
        <w:t>».</w:t>
      </w:r>
    </w:p>
    <w:p>
      <w:pPr>
        <w:pStyle w:val="Style14"/>
        <w:keepNext w:val="0"/>
        <w:keepLines w:val="0"/>
        <w:widowControl w:val="0"/>
        <w:shd w:val="clear" w:color="auto" w:fill="auto"/>
        <w:bidi w:val="0"/>
        <w:spacing w:before="0" w:after="80" w:line="240" w:lineRule="auto"/>
        <w:ind w:left="0" w:right="0" w:firstLine="660"/>
        <w:jc w:val="both"/>
      </w:pPr>
      <w:r>
        <w:rPr>
          <w:color w:val="000000"/>
          <w:spacing w:val="0"/>
          <w:w w:val="100"/>
          <w:position w:val="0"/>
          <w:sz w:val="24"/>
          <w:szCs w:val="24"/>
          <w:shd w:val="clear" w:color="auto" w:fill="auto"/>
          <w:lang w:val="ru-RU" w:eastAsia="ru-RU" w:bidi="ru-RU"/>
        </w:rPr>
        <w:t>Отдельными положениями порядка оценки о применении отдельных критериев оценки, показателей оценки и показателей оценки, детализирующих показатели оценки предусмотрено</w:t>
      </w:r>
    </w:p>
    <w:p>
      <w:pPr>
        <w:pStyle w:val="Style31"/>
        <w:keepNext w:val="0"/>
        <w:keepLines w:val="0"/>
        <w:widowControl w:val="0"/>
        <w:shd w:val="clear" w:color="auto" w:fill="auto"/>
        <w:bidi w:val="0"/>
        <w:spacing w:before="0" w:after="0" w:line="240" w:lineRule="auto"/>
        <w:ind w:left="91" w:right="0" w:firstLine="0"/>
        <w:jc w:val="left"/>
        <w:rPr>
          <w:sz w:val="24"/>
          <w:szCs w:val="24"/>
        </w:rPr>
      </w:pPr>
      <w:r>
        <w:rPr>
          <w:color w:val="000000"/>
          <w:spacing w:val="0"/>
          <w:w w:val="100"/>
          <w:position w:val="0"/>
          <w:sz w:val="24"/>
          <w:szCs w:val="24"/>
          <w:shd w:val="clear" w:color="auto" w:fill="auto"/>
          <w:lang w:val="ru-RU" w:eastAsia="ru-RU" w:bidi="ru-RU"/>
        </w:rPr>
        <w:t>следующее:</w:t>
      </w:r>
    </w:p>
    <w:tbl>
      <w:tblPr>
        <w:tblOverlap w:val="never"/>
        <w:jc w:val="center"/>
        <w:tblLayout w:type="fixed"/>
      </w:tblPr>
      <w:tblGrid>
        <w:gridCol w:w="566"/>
        <w:gridCol w:w="2693"/>
        <w:gridCol w:w="7070"/>
      </w:tblGrid>
      <w:tr>
        <w:trPr>
          <w:trHeight w:val="2064" w:hRule="exact"/>
        </w:trPr>
        <w:tc>
          <w:tcPr>
            <w:vMerge w:val="restart"/>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w:t>
            </w:r>
          </w:p>
        </w:tc>
        <w:tc>
          <w:tcPr>
            <w:vMerge w:val="restart"/>
            <w:tcBorders>
              <w:top w:val="single" w:sz="4"/>
              <w:left w:val="single" w:sz="4"/>
            </w:tcBorders>
            <w:shd w:val="clear" w:color="auto" w:fill="auto"/>
            <w:vAlign w:val="top"/>
          </w:tcPr>
          <w:p>
            <w:pPr>
              <w:pStyle w:val="Style2"/>
              <w:keepNext w:val="0"/>
              <w:keepLines w:val="0"/>
              <w:widowControl w:val="0"/>
              <w:shd w:val="clear" w:color="auto" w:fill="auto"/>
              <w:tabs>
                <w:tab w:pos="2467" w:val="right"/>
              </w:tabs>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ru-RU" w:eastAsia="ru-RU" w:bidi="ru-RU"/>
              </w:rPr>
              <w:t>Показатель</w:t>
              <w:tab/>
              <w:t>оценки</w:t>
            </w:r>
          </w:p>
          <w:p>
            <w:pPr>
              <w:pStyle w:val="Style2"/>
              <w:keepNext w:val="0"/>
              <w:keepLines w:val="0"/>
              <w:widowControl w:val="0"/>
              <w:shd w:val="clear" w:color="auto" w:fill="auto"/>
              <w:tabs>
                <w:tab w:pos="1363" w:val="left"/>
                <w:tab w:pos="1843" w:val="left"/>
              </w:tabs>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ru-RU" w:eastAsia="ru-RU" w:bidi="ru-RU"/>
              </w:rPr>
              <w:t>«Наличие у участников закупки опыта работы, связанного с предметом контракта»</w:t>
              <w:tab/>
              <w:t>-</w:t>
              <w:tab/>
              <w:t>«общее</w:t>
            </w:r>
          </w:p>
          <w:p>
            <w:pPr>
              <w:pStyle w:val="Style2"/>
              <w:keepNext w:val="0"/>
              <w:keepLines w:val="0"/>
              <w:widowControl w:val="0"/>
              <w:shd w:val="clear" w:color="auto" w:fill="auto"/>
              <w:tabs>
                <w:tab w:pos="2472" w:val="right"/>
              </w:tabs>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ru-RU" w:eastAsia="ru-RU" w:bidi="ru-RU"/>
              </w:rPr>
              <w:t>количество исполненных участником</w:t>
              <w:tab/>
              <w:t>закупки</w:t>
            </w:r>
          </w:p>
          <w:p>
            <w:pPr>
              <w:pStyle w:val="Style2"/>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ru-RU" w:eastAsia="ru-RU" w:bidi="ru-RU"/>
              </w:rPr>
              <w:t>договоров».</w:t>
            </w:r>
          </w:p>
        </w:tc>
        <w:tc>
          <w:tcPr>
            <w:tcBorders>
              <w:top w:val="single" w:sz="4"/>
              <w:left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ru-RU" w:eastAsia="ru-RU" w:bidi="ru-RU"/>
              </w:rPr>
              <w:t>При оценке опыта участника закупки баллы присуждаются только на основании документально подтвержденной информации (на основании представленных документов):</w:t>
            </w:r>
          </w:p>
          <w:p>
            <w:pPr>
              <w:pStyle w:val="Style2"/>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ru-RU" w:eastAsia="ru-RU" w:bidi="ru-RU"/>
              </w:rPr>
              <w:t>1. к оценке принимаются исполненные контракты (договоры), включающие инженерные изыскания по каждому контракту (договору), участников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 № 44-ФЗ.</w:t>
            </w:r>
          </w:p>
          <w:p>
            <w:pPr>
              <w:pStyle w:val="Style2"/>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u w:val="single"/>
                <w:shd w:val="clear" w:color="auto" w:fill="auto"/>
                <w:lang w:val="ru-RU" w:eastAsia="ru-RU" w:bidi="ru-RU"/>
              </w:rPr>
              <w:t>К оценке принимаются исполненные контракты (договоры) на разработку</w:t>
            </w:r>
          </w:p>
        </w:tc>
      </w:tr>
      <w:tr>
        <w:trPr>
          <w:trHeight w:val="230"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u w:val="single"/>
                <w:shd w:val="clear" w:color="auto" w:fill="auto"/>
                <w:lang w:val="ru-RU" w:eastAsia="ru-RU" w:bidi="ru-RU"/>
              </w:rPr>
              <w:t>проектной документации на строительство и(или) реконструкцию и (или)</w:t>
            </w:r>
          </w:p>
        </w:tc>
      </w:tr>
      <w:tr>
        <w:trPr>
          <w:trHeight w:val="230"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u w:val="single"/>
                <w:shd w:val="clear" w:color="auto" w:fill="auto"/>
                <w:lang w:val="ru-RU" w:eastAsia="ru-RU" w:bidi="ru-RU"/>
              </w:rPr>
              <w:t>капитальный ремонт мостовых сооружений, автомобильных дорог (при</w:t>
            </w:r>
          </w:p>
        </w:tc>
      </w:tr>
      <w:tr>
        <w:trPr>
          <w:trHeight w:val="230" w:hRule="exact"/>
        </w:trPr>
        <w:tc>
          <w:tcPr>
            <w:vMerge/>
            <w:tcBorders>
              <w:left w:val="single" w:sz="4"/>
            </w:tcBorders>
            <w:shd w:val="clear" w:color="auto" w:fill="auto"/>
            <w:vAlign w:val="top"/>
          </w:tcPr>
          <w:p>
            <w:pPr/>
          </w:p>
        </w:tc>
        <w:tc>
          <w:tcPr>
            <w:vMerge/>
            <w:tcBorders>
              <w:left w:val="single" w:sz="4"/>
            </w:tcBorders>
            <w:shd w:val="clear" w:color="auto" w:fill="auto"/>
            <w:vAlign w:val="top"/>
          </w:tcPr>
          <w:p>
            <w:pPr/>
          </w:p>
        </w:tc>
        <w:tc>
          <w:tcPr>
            <w:tcBorders>
              <w:top w:val="single" w:sz="4"/>
              <w:left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u w:val="single"/>
                <w:shd w:val="clear" w:color="auto" w:fill="auto"/>
                <w:lang w:val="ru-RU" w:eastAsia="ru-RU" w:bidi="ru-RU"/>
              </w:rPr>
              <w:t>наличии положительного заключения экспертизы в отношении проектно-</w:t>
            </w:r>
          </w:p>
        </w:tc>
      </w:tr>
      <w:tr>
        <w:trPr>
          <w:trHeight w:val="1886" w:hRule="exact"/>
        </w:trPr>
        <w:tc>
          <w:tcPr>
            <w:vMerge/>
            <w:tcBorders>
              <w:left w:val="single" w:sz="4"/>
              <w:bottom w:val="single" w:sz="4"/>
            </w:tcBorders>
            <w:shd w:val="clear" w:color="auto" w:fill="auto"/>
            <w:vAlign w:val="top"/>
          </w:tcPr>
          <w:p>
            <w:pPr/>
          </w:p>
        </w:tc>
        <w:tc>
          <w:tcPr>
            <w:vMerge/>
            <w:tcBorders>
              <w:left w:val="single" w:sz="4"/>
              <w:bottom w:val="single" w:sz="4"/>
            </w:tcBorders>
            <w:shd w:val="clear" w:color="auto" w:fill="auto"/>
            <w:vAlign w:val="top"/>
          </w:tcPr>
          <w:p>
            <w:pPr/>
          </w:p>
        </w:tc>
        <w:tc>
          <w:tcPr>
            <w:tcBorders>
              <w:top w:val="single" w:sz="4"/>
              <w:left w:val="single" w:sz="4"/>
              <w:bottom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u w:val="single"/>
                <w:shd w:val="clear" w:color="auto" w:fill="auto"/>
                <w:lang w:val="ru-RU" w:eastAsia="ru-RU" w:bidi="ru-RU"/>
              </w:rPr>
              <w:t>сметной и (или) сметной документации).</w:t>
            </w:r>
          </w:p>
          <w:p>
            <w:pPr>
              <w:pStyle w:val="Style2"/>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ru-RU" w:eastAsia="ru-RU" w:bidi="ru-RU"/>
              </w:rPr>
              <w:t>Контракты (договоры) должны быть представлены в заявке в полном объеме и со всеми приложениями. Такие документы направляются в форме электронных документов или в форме электронных образов бумажных документов.</w:t>
            </w:r>
          </w:p>
          <w:p>
            <w:pPr>
              <w:pStyle w:val="Style2"/>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ru-RU" w:eastAsia="ru-RU" w:bidi="ru-RU"/>
              </w:rPr>
              <w:t>2. акт (акты) приемки выполненных работ, составленный при исполнении такого договора (договоров), подтверждающий цену выполненных работ;</w:t>
            </w:r>
          </w:p>
          <w:p>
            <w:pPr>
              <w:pStyle w:val="Style2"/>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ru-RU" w:eastAsia="ru-RU" w:bidi="ru-RU"/>
              </w:rPr>
              <w:t>Последний акт, составленный при исполнении контракта (договора) должен быть подписан не ранее чем за 5 лет до даты окончания срока подачи заявок.</w:t>
            </w:r>
          </w:p>
        </w:tc>
      </w:tr>
    </w:tbl>
    <w:p>
      <w:pPr>
        <w:widowControl w:val="0"/>
        <w:spacing w:line="1" w:lineRule="exact"/>
      </w:pPr>
    </w:p>
    <w:tbl>
      <w:tblPr>
        <w:tblOverlap w:val="never"/>
        <w:jc w:val="center"/>
        <w:tblLayout w:type="fixed"/>
      </w:tblPr>
      <w:tblGrid>
        <w:gridCol w:w="566"/>
        <w:gridCol w:w="2693"/>
        <w:gridCol w:w="7070"/>
      </w:tblGrid>
      <w:tr>
        <w:trPr>
          <w:trHeight w:val="1637" w:hRule="exact"/>
        </w:trPr>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bottom"/>
          </w:tcPr>
          <w:p>
            <w:pPr>
              <w:pStyle w:val="Style2"/>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ru-RU" w:eastAsia="ru-RU" w:bidi="ru-RU"/>
              </w:rPr>
              <w:t>3. положительное заключение экспертизы, содержащее сведения об участнике закупки в числе лиц, подготовивших проектную документацию.</w:t>
            </w:r>
          </w:p>
          <w:p>
            <w:pPr>
              <w:pStyle w:val="Style2"/>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ru-RU" w:eastAsia="ru-RU" w:bidi="ru-RU"/>
              </w:rPr>
              <w:t>К оценке принимаются документы, полностью воспроизводящие информацию подлинников документов и их внешние признаки (дата, номер, наименование документа, подписи и печати (при наличии) сторон).</w:t>
            </w:r>
          </w:p>
          <w:p>
            <w:pPr>
              <w:pStyle w:val="Style2"/>
              <w:keepNext w:val="0"/>
              <w:keepLines w:val="0"/>
              <w:widowControl w:val="0"/>
              <w:shd w:val="clear" w:color="auto" w:fill="auto"/>
              <w:bidi w:val="0"/>
              <w:spacing w:before="0" w:after="0" w:line="240" w:lineRule="auto"/>
              <w:ind w:left="0" w:right="0" w:firstLine="0"/>
              <w:jc w:val="both"/>
              <w:rPr>
                <w:sz w:val="20"/>
                <w:szCs w:val="20"/>
              </w:rPr>
            </w:pPr>
            <w:r>
              <w:rPr>
                <w:color w:val="000000"/>
                <w:spacing w:val="0"/>
                <w:w w:val="100"/>
                <w:position w:val="0"/>
                <w:sz w:val="20"/>
                <w:szCs w:val="20"/>
                <w:shd w:val="clear" w:color="auto" w:fill="auto"/>
                <w:lang w:val="ru-RU" w:eastAsia="ru-RU" w:bidi="ru-RU"/>
              </w:rPr>
              <w:t>Договор (контракт), заключенный в электронной форме, должен включать в себя информацию об электронной подписи.</w:t>
            </w:r>
          </w:p>
        </w:tc>
      </w:tr>
    </w:tbl>
    <w:p>
      <w:pPr>
        <w:widowControl w:val="0"/>
        <w:spacing w:after="239" w:line="1" w:lineRule="exact"/>
      </w:pPr>
    </w:p>
    <w:p>
      <w:pPr>
        <w:pStyle w:val="Style14"/>
        <w:keepNext w:val="0"/>
        <w:keepLines w:val="0"/>
        <w:widowControl w:val="0"/>
        <w:shd w:val="clear" w:color="auto" w:fill="auto"/>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Требованиями к содержанию, составу заявки на участие в открытом конкурсе определено следующее:</w:t>
      </w:r>
    </w:p>
    <w:p>
      <w:pPr>
        <w:pStyle w:val="Style2"/>
        <w:keepNext w:val="0"/>
        <w:keepLines w:val="0"/>
        <w:widowControl w:val="0"/>
        <w:shd w:val="clear" w:color="auto" w:fill="auto"/>
        <w:bidi w:val="0"/>
        <w:spacing w:before="0" w:after="0" w:line="240" w:lineRule="auto"/>
        <w:ind w:left="0" w:right="0" w:firstLine="0"/>
        <w:jc w:val="right"/>
        <w:rPr>
          <w:sz w:val="20"/>
          <w:szCs w:val="20"/>
        </w:rPr>
      </w:pPr>
      <w:r>
        <w:rPr>
          <w:b/>
          <w:bCs/>
          <w:color w:val="000000"/>
          <w:spacing w:val="0"/>
          <w:w w:val="100"/>
          <w:position w:val="0"/>
          <w:sz w:val="20"/>
          <w:szCs w:val="20"/>
          <w:shd w:val="clear" w:color="auto" w:fill="auto"/>
          <w:lang w:val="ru-RU" w:eastAsia="ru-RU" w:bidi="ru-RU"/>
        </w:rPr>
        <w:t>ФОРМА №1</w:t>
      </w:r>
    </w:p>
    <w:p>
      <w:pPr>
        <w:pStyle w:val="Style37"/>
        <w:keepNext/>
        <w:keepLines/>
        <w:widowControl w:val="0"/>
        <w:shd w:val="clear" w:color="auto" w:fill="auto"/>
        <w:bidi w:val="0"/>
        <w:spacing w:before="0" w:line="240" w:lineRule="auto"/>
        <w:ind w:left="0" w:right="0" w:firstLine="0"/>
        <w:jc w:val="right"/>
      </w:pPr>
      <w:bookmarkStart w:id="0" w:name="bookmark0"/>
      <w:r>
        <w:rPr>
          <w:color w:val="000000"/>
          <w:spacing w:val="0"/>
          <w:w w:val="100"/>
          <w:position w:val="0"/>
          <w:shd w:val="clear" w:color="auto" w:fill="auto"/>
          <w:lang w:val="ru-RU" w:eastAsia="ru-RU" w:bidi="ru-RU"/>
        </w:rPr>
        <w:t>(рекомендуемая)</w:t>
      </w:r>
      <w:bookmarkEnd w:id="0"/>
    </w:p>
    <w:p>
      <w:pPr>
        <w:pStyle w:val="Style2"/>
        <w:keepNext w:val="0"/>
        <w:keepLines w:val="0"/>
        <w:widowControl w:val="0"/>
        <w:shd w:val="clear" w:color="auto" w:fill="auto"/>
        <w:bidi w:val="0"/>
        <w:spacing w:before="0" w:after="320" w:line="240" w:lineRule="auto"/>
        <w:ind w:left="0" w:right="0" w:firstLine="0"/>
        <w:jc w:val="center"/>
        <w:rPr>
          <w:sz w:val="20"/>
          <w:szCs w:val="20"/>
        </w:rPr>
      </w:pPr>
      <w:r>
        <w:rPr>
          <w:b/>
          <w:bCs/>
          <w:color w:val="000000"/>
          <w:spacing w:val="0"/>
          <w:w w:val="100"/>
          <w:position w:val="0"/>
          <w:sz w:val="20"/>
          <w:szCs w:val="20"/>
          <w:shd w:val="clear" w:color="auto" w:fill="auto"/>
          <w:lang w:val="ru-RU" w:eastAsia="ru-RU" w:bidi="ru-RU"/>
        </w:rPr>
        <w:t>ДОКУМЕНТЫ, ПОДТВЕРЖДАЮЩИЕ КВАЛИФИКАЦИЮ УЧАСТНИКА ЗАКУПКИ</w:t>
      </w:r>
    </w:p>
    <w:p>
      <w:pPr>
        <w:pStyle w:val="Style31"/>
        <w:keepNext w:val="0"/>
        <w:keepLines w:val="0"/>
        <w:widowControl w:val="0"/>
        <w:shd w:val="clear" w:color="auto" w:fill="auto"/>
        <w:tabs>
          <w:tab w:leader="underscore" w:pos="2338" w:val="left"/>
          <w:tab w:pos="2510" w:val="left"/>
        </w:tabs>
        <w:bidi w:val="0"/>
        <w:spacing w:before="0" w:after="0" w:line="240" w:lineRule="auto"/>
        <w:ind w:left="0" w:right="0" w:firstLine="0"/>
        <w:jc w:val="left"/>
      </w:pPr>
      <w:r>
        <w:rPr>
          <w:color w:val="000000"/>
          <w:spacing w:val="0"/>
          <w:w w:val="100"/>
          <w:position w:val="0"/>
          <w:shd w:val="clear" w:color="auto" w:fill="auto"/>
          <w:lang w:val="ru-RU" w:eastAsia="ru-RU" w:bidi="ru-RU"/>
        </w:rPr>
        <w:tab/>
        <w:tab/>
        <w:t>(участник закупки) подтверждает свою квалификацию следующей информацией, изложенной в таблице:</w:t>
      </w:r>
    </w:p>
    <w:tbl>
      <w:tblPr>
        <w:tblOverlap w:val="never"/>
        <w:jc w:val="center"/>
        <w:tblLayout w:type="fixed"/>
      </w:tblPr>
      <w:tblGrid>
        <w:gridCol w:w="902"/>
        <w:gridCol w:w="1867"/>
        <w:gridCol w:w="1368"/>
        <w:gridCol w:w="1642"/>
        <w:gridCol w:w="1536"/>
        <w:gridCol w:w="1358"/>
        <w:gridCol w:w="1536"/>
      </w:tblGrid>
      <w:tr>
        <w:trPr>
          <w:trHeight w:val="3312" w:hRule="exact"/>
        </w:trPr>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 п/п</w:t>
            </w:r>
          </w:p>
        </w:tc>
        <w:tc>
          <w:tcPr>
            <w:tcBorders>
              <w:top w:val="single" w:sz="4"/>
              <w:left w:val="single" w:sz="4"/>
            </w:tcBorders>
            <w:shd w:val="clear" w:color="auto" w:fill="auto"/>
            <w:vAlign w:val="bottom"/>
          </w:tcPr>
          <w:p>
            <w:pPr>
              <w:pStyle w:val="Style2"/>
              <w:keepNext w:val="0"/>
              <w:keepLines w:val="0"/>
              <w:widowControl w:val="0"/>
              <w:shd w:val="clear" w:color="auto" w:fill="auto"/>
              <w:tabs>
                <w:tab w:leader="underscore" w:pos="1673" w:val="left"/>
              </w:tabs>
              <w:bidi w:val="0"/>
              <w:spacing w:before="0" w:after="0" w:line="240" w:lineRule="auto"/>
              <w:ind w:left="180" w:right="0" w:firstLine="0"/>
              <w:jc w:val="left"/>
              <w:rPr>
                <w:sz w:val="20"/>
                <w:szCs w:val="20"/>
              </w:rPr>
            </w:pPr>
            <w:r>
              <w:rPr>
                <w:color w:val="000000"/>
                <w:spacing w:val="0"/>
                <w:w w:val="100"/>
                <w:position w:val="0"/>
                <w:sz w:val="20"/>
                <w:szCs w:val="20"/>
                <w:u w:val="single"/>
                <w:shd w:val="clear" w:color="auto" w:fill="auto"/>
                <w:lang w:val="ru-RU" w:eastAsia="ru-RU" w:bidi="ru-RU"/>
              </w:rPr>
              <w:t>Предмет контракта (договора)</w:t>
            </w:r>
            <w:r>
              <w:rPr>
                <w:color w:val="000000"/>
                <w:spacing w:val="0"/>
                <w:w w:val="100"/>
                <w:position w:val="0"/>
                <w:sz w:val="20"/>
                <w:szCs w:val="20"/>
                <w:shd w:val="clear" w:color="auto" w:fill="auto"/>
                <w:lang w:val="ru-RU" w:eastAsia="ru-RU" w:bidi="ru-RU"/>
              </w:rPr>
              <w:tab/>
              <w:t>с</w:t>
            </w:r>
          </w:p>
          <w:p>
            <w:pPr>
              <w:pStyle w:val="Style2"/>
              <w:keepNext w:val="0"/>
              <w:keepLines w:val="0"/>
              <w:widowControl w:val="0"/>
              <w:shd w:val="clear" w:color="auto" w:fill="auto"/>
              <w:tabs>
                <w:tab w:pos="1562" w:val="left"/>
              </w:tabs>
              <w:bidi w:val="0"/>
              <w:spacing w:before="0" w:after="0" w:line="240" w:lineRule="auto"/>
              <w:ind w:left="180" w:right="0" w:firstLine="0"/>
              <w:jc w:val="left"/>
              <w:rPr>
                <w:sz w:val="20"/>
                <w:szCs w:val="20"/>
              </w:rPr>
            </w:pPr>
            <w:r>
              <w:rPr>
                <w:color w:val="000000"/>
                <w:spacing w:val="0"/>
                <w:w w:val="100"/>
                <w:position w:val="0"/>
                <w:sz w:val="20"/>
                <w:szCs w:val="20"/>
                <w:u w:val="single"/>
                <w:shd w:val="clear" w:color="auto" w:fill="auto"/>
                <w:lang w:val="ru-RU" w:eastAsia="ru-RU" w:bidi="ru-RU"/>
              </w:rPr>
              <w:t>указанием номера записи исполненного контракта (договора)</w:t>
              <w:tab/>
              <w:t>из</w:t>
            </w:r>
          </w:p>
          <w:p>
            <w:pPr>
              <w:pStyle w:val="Style2"/>
              <w:keepNext w:val="0"/>
              <w:keepLines w:val="0"/>
              <w:widowControl w:val="0"/>
              <w:shd w:val="clear" w:color="auto" w:fill="auto"/>
              <w:bidi w:val="0"/>
              <w:spacing w:before="0" w:after="0" w:line="240" w:lineRule="auto"/>
              <w:ind w:left="180" w:right="0" w:firstLine="0"/>
              <w:jc w:val="left"/>
              <w:rPr>
                <w:sz w:val="20"/>
                <w:szCs w:val="20"/>
              </w:rPr>
            </w:pPr>
            <w:r>
              <w:rPr>
                <w:color w:val="000000"/>
                <w:spacing w:val="0"/>
                <w:w w:val="100"/>
                <w:position w:val="0"/>
                <w:sz w:val="20"/>
                <w:szCs w:val="20"/>
                <w:u w:val="single"/>
                <w:shd w:val="clear" w:color="auto" w:fill="auto"/>
                <w:lang w:val="ru-RU" w:eastAsia="ru-RU" w:bidi="ru-RU"/>
              </w:rPr>
              <w:t>реестра контрактов (договоров) (при наличии реестрового номера)</w:t>
            </w:r>
          </w:p>
        </w:tc>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Цена контракта (договора), руб.</w:t>
            </w:r>
          </w:p>
        </w:tc>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Стоимость выполненных работ, руб.</w:t>
            </w:r>
          </w:p>
        </w:tc>
        <w:tc>
          <w:tcPr>
            <w:tcBorders>
              <w:top w:val="single" w:sz="4"/>
              <w:left w:val="single" w:sz="4"/>
            </w:tcBorders>
            <w:shd w:val="clear" w:color="auto" w:fill="auto"/>
            <w:vAlign w:val="top"/>
          </w:tcPr>
          <w:p>
            <w:pPr>
              <w:pStyle w:val="Style2"/>
              <w:keepNext w:val="0"/>
              <w:keepLines w:val="0"/>
              <w:widowControl w:val="0"/>
              <w:shd w:val="clear" w:color="auto" w:fill="auto"/>
              <w:tabs>
                <w:tab w:pos="1109" w:val="left"/>
              </w:tabs>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Период выполнения работ</w:t>
              <w:tab/>
              <w:t>по</w:t>
            </w:r>
          </w:p>
          <w:p>
            <w:pPr>
              <w:pStyle w:val="Style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контракту (договору)</w:t>
            </w:r>
          </w:p>
        </w:tc>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Фактический период выполнения работ</w:t>
            </w:r>
          </w:p>
        </w:tc>
        <w:tc>
          <w:tcPr>
            <w:tcBorders>
              <w:top w:val="single" w:sz="4"/>
              <w:left w:val="single" w:sz="4"/>
              <w:righ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Номер и дата контракта (договора)</w:t>
            </w:r>
          </w:p>
        </w:tc>
      </w:tr>
      <w:tr>
        <w:trPr>
          <w:trHeight w:val="302" w:hRule="exact"/>
        </w:trPr>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center"/>
              <w:rPr>
                <w:sz w:val="20"/>
                <w:szCs w:val="20"/>
              </w:rPr>
            </w:pPr>
            <w:r>
              <w:rPr>
                <w:color w:val="000000"/>
                <w:spacing w:val="0"/>
                <w:w w:val="100"/>
                <w:position w:val="0"/>
                <w:sz w:val="20"/>
                <w:szCs w:val="20"/>
                <w:shd w:val="clear" w:color="auto" w:fill="auto"/>
                <w:lang w:val="ru-RU" w:eastAsia="ru-RU" w:bidi="ru-RU"/>
              </w:rPr>
              <w:t>1</w:t>
            </w:r>
          </w:p>
        </w:tc>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180"/>
              <w:jc w:val="left"/>
              <w:rPr>
                <w:sz w:val="20"/>
                <w:szCs w:val="20"/>
              </w:rPr>
            </w:pPr>
            <w:r>
              <w:rPr>
                <w:color w:val="000000"/>
                <w:spacing w:val="0"/>
                <w:w w:val="100"/>
                <w:position w:val="0"/>
                <w:sz w:val="20"/>
                <w:szCs w:val="20"/>
                <w:shd w:val="clear" w:color="auto" w:fill="auto"/>
                <w:lang w:val="ru-RU" w:eastAsia="ru-RU" w:bidi="ru-RU"/>
              </w:rPr>
              <w:t>2</w:t>
            </w:r>
          </w:p>
        </w:tc>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3</w:t>
            </w:r>
          </w:p>
        </w:tc>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4</w:t>
            </w:r>
          </w:p>
        </w:tc>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5</w:t>
            </w:r>
          </w:p>
        </w:tc>
        <w:tc>
          <w:tcPr>
            <w:tcBorders>
              <w:top w:val="single" w:sz="4"/>
              <w:lef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6</w:t>
            </w:r>
          </w:p>
        </w:tc>
        <w:tc>
          <w:tcPr>
            <w:tcBorders>
              <w:top w:val="single" w:sz="4"/>
              <w:left w:val="single" w:sz="4"/>
              <w:right w:val="single" w:sz="4"/>
            </w:tcBorders>
            <w:shd w:val="clear" w:color="auto" w:fill="auto"/>
            <w:vAlign w:val="top"/>
          </w:tcPr>
          <w:p>
            <w:pPr>
              <w:pStyle w:val="Style2"/>
              <w:keepNext w:val="0"/>
              <w:keepLines w:val="0"/>
              <w:widowControl w:val="0"/>
              <w:shd w:val="clear" w:color="auto" w:fill="auto"/>
              <w:bidi w:val="0"/>
              <w:spacing w:before="0" w:after="0" w:line="240" w:lineRule="auto"/>
              <w:ind w:left="0" w:right="0" w:firstLine="0"/>
              <w:jc w:val="left"/>
              <w:rPr>
                <w:sz w:val="20"/>
                <w:szCs w:val="20"/>
              </w:rPr>
            </w:pPr>
            <w:r>
              <w:rPr>
                <w:color w:val="000000"/>
                <w:spacing w:val="0"/>
                <w:w w:val="100"/>
                <w:position w:val="0"/>
                <w:sz w:val="20"/>
                <w:szCs w:val="20"/>
                <w:shd w:val="clear" w:color="auto" w:fill="auto"/>
                <w:lang w:val="ru-RU" w:eastAsia="ru-RU" w:bidi="ru-RU"/>
              </w:rPr>
              <w:t>7</w:t>
            </w:r>
          </w:p>
        </w:tc>
      </w:tr>
      <w:tr>
        <w:trPr>
          <w:trHeight w:val="307" w:hRule="exact"/>
        </w:trPr>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pStyle w:val="Style14"/>
        <w:keepNext w:val="0"/>
        <w:keepLines w:val="0"/>
        <w:widowControl w:val="0"/>
        <w:shd w:val="clear" w:color="auto" w:fill="auto"/>
        <w:bidi w:val="0"/>
        <w:spacing w:before="0" w:after="0" w:line="240" w:lineRule="auto"/>
        <w:ind w:left="0" w:right="0" w:firstLine="660"/>
        <w:jc w:val="both"/>
      </w:pPr>
      <w:r>
        <w:rPr>
          <w:color w:val="000000"/>
          <w:spacing w:val="0"/>
          <w:w w:val="100"/>
          <w:position w:val="0"/>
          <w:sz w:val="24"/>
          <w:szCs w:val="24"/>
          <w:shd w:val="clear" w:color="auto" w:fill="auto"/>
          <w:lang w:val="ru-RU" w:eastAsia="ru-RU" w:bidi="ru-RU"/>
        </w:rPr>
        <w:t>Комиссия Ростовского УФАС России отмечает, что вышеуказанное положение по своей сути и в указанной Заказчиком формулировке является дополнительным способом подтверждения наличия у участника закупки опыта исполнения контрактов (договоров), ввиду чего, с учетом установления в порядке оценки положения о возможности подтверждения опыта исполнения контрактов (договоров) посредством представления контракта, включающегося в себя электронную подпись и актов выполненных услуг (работ), не может свидетельствовать о нарушении Заказчиком норм Закона и требований Положения, где указано, что порядком оценки 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 акт (акты) приемки поставленного товара, выполненных работ, оказанных услуг, составленные при исполнении такого договора (договоров), при этом сформированная Заказчиком форма №1, являющаяся способом подтверждения наличия у участника закупки опыта исполнения контрактов (договоров) с использованием формулировки «рекомендуемая», «участник подтверждает свою квалификацию следующей информацией» свидетельствует об установлении Заказчиком условия о возможности подтверждения опыта исполнения контрактов (договоров) помимо способа, определенного Положением.</w:t>
      </w:r>
    </w:p>
    <w:p>
      <w:pPr>
        <w:pStyle w:val="Style14"/>
        <w:keepNext w:val="0"/>
        <w:keepLines w:val="0"/>
        <w:widowControl w:val="0"/>
        <w:shd w:val="clear" w:color="auto" w:fill="auto"/>
        <w:bidi w:val="0"/>
        <w:spacing w:before="0" w:after="240" w:line="240" w:lineRule="auto"/>
        <w:ind w:left="0" w:right="0" w:firstLine="660"/>
        <w:jc w:val="both"/>
      </w:pPr>
      <w:r>
        <w:rPr>
          <w:color w:val="000000"/>
          <w:spacing w:val="0"/>
          <w:w w:val="100"/>
          <w:position w:val="0"/>
          <w:sz w:val="24"/>
          <w:szCs w:val="24"/>
          <w:shd w:val="clear" w:color="auto" w:fill="auto"/>
          <w:lang w:val="ru-RU" w:eastAsia="ru-RU" w:bidi="ru-RU"/>
        </w:rPr>
        <w:t>В силу изложенного, довод жалобы признан необоснованным.</w:t>
      </w:r>
    </w:p>
    <w:p>
      <w:pPr>
        <w:pStyle w:val="Style14"/>
        <w:keepNext w:val="0"/>
        <w:keepLines w:val="0"/>
        <w:widowControl w:val="0"/>
        <w:shd w:val="clear" w:color="auto" w:fill="auto"/>
        <w:bidi w:val="0"/>
        <w:spacing w:before="0" w:after="240" w:line="240" w:lineRule="auto"/>
        <w:ind w:left="0" w:right="0" w:firstLine="580"/>
        <w:jc w:val="both"/>
      </w:pPr>
      <w:r>
        <w:rPr>
          <w:color w:val="000000"/>
          <w:spacing w:val="0"/>
          <w:w w:val="100"/>
          <w:position w:val="0"/>
          <w:sz w:val="24"/>
          <w:szCs w:val="24"/>
          <w:shd w:val="clear" w:color="auto" w:fill="auto"/>
          <w:lang w:val="ru-RU" w:eastAsia="ru-RU" w:bidi="ru-RU"/>
        </w:rPr>
        <w:t>2. Согласно доводу жалобы, Заказчиком установлены неправомерные требования к нормативно-правовым актам и государственным стандартам утратившим силу.</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п.1 ч.2 ст.42 Закона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 основании п.2 ч.1 ст.33 Закона заказчик в случаях, предусмотренных Законом, при описании объекта закупки должен руководствоваться правилом использования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Так, п.11 технического задания установлены основные требования к разработке проектной документации: «проектирование осуществлять с учетом требований национальных стандартов, включенных в перечень применения на обязательной основе, утвержденного Постановлением Правительства РФ от 20.05.2022 ^ 914». Вместе с тем данное постановление утратило силу 01.09.2024.</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рамках проведения в соответствии с ч.15 ст.99 Закона внеплановой проверки Комиссией Ростовского УФАС России также установлено, что техническое задание содержит требование о выполнении проектной документации с учетом требований Постановления Правительства РФ от 14.09.2016 ^ 924, которое утратило силу 01.01.2021.</w:t>
      </w:r>
    </w:p>
    <w:p>
      <w:pPr>
        <w:pStyle w:val="Style14"/>
        <w:keepNext w:val="0"/>
        <w:keepLines w:val="0"/>
        <w:widowControl w:val="0"/>
        <w:shd w:val="clear" w:color="auto" w:fill="auto"/>
        <w:bidi w:val="0"/>
        <w:spacing w:before="0" w:after="240" w:line="240" w:lineRule="auto"/>
        <w:ind w:left="0" w:right="0" w:firstLine="580"/>
        <w:jc w:val="both"/>
      </w:pPr>
      <w:r>
        <w:rPr>
          <w:color w:val="000000"/>
          <w:spacing w:val="0"/>
          <w:w w:val="100"/>
          <w:position w:val="0"/>
          <w:sz w:val="24"/>
          <w:szCs w:val="24"/>
          <w:shd w:val="clear" w:color="auto" w:fill="auto"/>
          <w:lang w:val="ru-RU" w:eastAsia="ru-RU" w:bidi="ru-RU"/>
        </w:rPr>
        <w:t>Указанное свидетельствует о нарушении Заказчиком ч.2 ст.42 Закона. Довод жалобы признан обоснованным.</w:t>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В соответствии с положениями Закона, в случаях если при рассмотрении жалобы или проведения внеплановой проверки выявлены нарушения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Комиссия выдает предписание об устранении допущенных нарушений. Комиссия вправе не выдавать предписание только в случае выявления нарушений законодательства Российской Федерации и иных нормативных правовых актов о контрактной системе, которые не повлияли или не могли повлиять на результаты определения поставщика (подрядчика, исполнителя).</w:t>
      </w:r>
    </w:p>
    <w:p>
      <w:pPr>
        <w:pStyle w:val="Style14"/>
        <w:keepNext w:val="0"/>
        <w:keepLines w:val="0"/>
        <w:widowControl w:val="0"/>
        <w:shd w:val="clear" w:color="auto" w:fill="auto"/>
        <w:bidi w:val="0"/>
        <w:spacing w:before="0" w:after="240" w:line="240" w:lineRule="auto"/>
        <w:ind w:left="0" w:right="0" w:firstLine="580"/>
        <w:jc w:val="both"/>
      </w:pPr>
      <w:r>
        <w:rPr>
          <w:color w:val="000000"/>
          <w:spacing w:val="0"/>
          <w:w w:val="100"/>
          <w:position w:val="0"/>
          <w:sz w:val="24"/>
          <w:szCs w:val="24"/>
          <w:shd w:val="clear" w:color="auto" w:fill="auto"/>
          <w:lang w:val="ru-RU" w:eastAsia="ru-RU" w:bidi="ru-RU"/>
        </w:rPr>
        <w:t>Учитывая, что на участие в конкурсе подано 3 (три) заявки, а также то, что в материалы дела не представлено документов, подтверждающих, что оспариваемое требование ограничивает количество участников закупки и нарушает законные права и интересы участников, в том числе, Заявителя, который подал заявку на участие в закупке, нарушение, установленное при проведении внеплановой проверки в данном случае не привело к принятию неправильного решения. Руководствуясь Законом, основания для выдачи предписания о внесении изменений в извещение о проведении конкурса отсутствуют, поскольку действия Заказчика не повлияли и не могли повлиять на результаты определения поставщика (подрядчика, исполнителя).</w:t>
      </w:r>
      <w:r>
        <w:br w:type="page"/>
      </w:r>
    </w:p>
    <w:p>
      <w:pPr>
        <w:pStyle w:val="Style14"/>
        <w:keepNext w:val="0"/>
        <w:keepLines w:val="0"/>
        <w:widowControl w:val="0"/>
        <w:shd w:val="clear" w:color="auto" w:fill="auto"/>
        <w:bidi w:val="0"/>
        <w:spacing w:before="0" w:after="0" w:line="240" w:lineRule="auto"/>
        <w:ind w:left="0" w:right="0" w:firstLine="580"/>
        <w:jc w:val="both"/>
      </w:pPr>
      <w:r>
        <w:rPr>
          <w:color w:val="000000"/>
          <w:spacing w:val="0"/>
          <w:w w:val="100"/>
          <w:position w:val="0"/>
          <w:sz w:val="24"/>
          <w:szCs w:val="24"/>
          <w:shd w:val="clear" w:color="auto" w:fill="auto"/>
          <w:lang w:val="ru-RU" w:eastAsia="ru-RU" w:bidi="ru-RU"/>
        </w:rPr>
        <w:t>На основании Постановления Правительства РФ от 26.08.2013г. №728, в соответствии с ч.15 ст.99, ч.8 ст.106 Закона,</w:t>
      </w:r>
    </w:p>
    <w:p>
      <w:pPr>
        <w:pStyle w:val="Style14"/>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z w:val="24"/>
          <w:szCs w:val="24"/>
          <w:shd w:val="clear" w:color="auto" w:fill="auto"/>
          <w:lang w:val="ru-RU" w:eastAsia="ru-RU" w:bidi="ru-RU"/>
        </w:rPr>
        <w:t>РЕШИЛА:</w:t>
      </w:r>
    </w:p>
    <w:p>
      <w:pPr>
        <w:pStyle w:val="Style14"/>
        <w:keepNext w:val="0"/>
        <w:keepLines w:val="0"/>
        <w:widowControl w:val="0"/>
        <w:numPr>
          <w:ilvl w:val="0"/>
          <w:numId w:val="13"/>
        </w:numPr>
        <w:shd w:val="clear" w:color="auto" w:fill="auto"/>
        <w:tabs>
          <w:tab w:pos="814" w:val="left"/>
        </w:tabs>
        <w:bidi w:val="0"/>
        <w:spacing w:before="0" w:after="0" w:line="240" w:lineRule="auto"/>
        <w:ind w:left="0" w:right="0" w:firstLine="480"/>
        <w:jc w:val="both"/>
      </w:pPr>
      <w:r>
        <w:rPr>
          <w:color w:val="000000"/>
          <w:spacing w:val="0"/>
          <w:w w:val="100"/>
          <w:position w:val="0"/>
          <w:sz w:val="24"/>
          <w:szCs w:val="24"/>
          <w:shd w:val="clear" w:color="auto" w:fill="auto"/>
          <w:lang w:val="ru-RU" w:eastAsia="ru-RU" w:bidi="ru-RU"/>
        </w:rPr>
        <w:t>Признать жалобу Заявителя частично обоснованной.</w:t>
      </w:r>
    </w:p>
    <w:p>
      <w:pPr>
        <w:pStyle w:val="Style14"/>
        <w:keepNext w:val="0"/>
        <w:keepLines w:val="0"/>
        <w:widowControl w:val="0"/>
        <w:numPr>
          <w:ilvl w:val="0"/>
          <w:numId w:val="13"/>
        </w:numPr>
        <w:shd w:val="clear" w:color="auto" w:fill="auto"/>
        <w:tabs>
          <w:tab w:pos="838" w:val="left"/>
        </w:tabs>
        <w:bidi w:val="0"/>
        <w:spacing w:before="0" w:after="0" w:line="240" w:lineRule="auto"/>
        <w:ind w:left="0" w:right="0" w:firstLine="480"/>
        <w:jc w:val="both"/>
      </w:pPr>
      <w:r>
        <w:rPr>
          <w:color w:val="000000"/>
          <w:spacing w:val="0"/>
          <w:w w:val="100"/>
          <w:position w:val="0"/>
          <w:sz w:val="24"/>
          <w:szCs w:val="24"/>
          <w:shd w:val="clear" w:color="auto" w:fill="auto"/>
          <w:lang w:val="ru-RU" w:eastAsia="ru-RU" w:bidi="ru-RU"/>
        </w:rPr>
        <w:t>Признать Заказчика нарушившим ч.2 ст.42 Закона.</w:t>
      </w:r>
    </w:p>
    <w:p>
      <w:pPr>
        <w:pStyle w:val="Style14"/>
        <w:keepNext w:val="0"/>
        <w:keepLines w:val="0"/>
        <w:widowControl w:val="0"/>
        <w:numPr>
          <w:ilvl w:val="0"/>
          <w:numId w:val="13"/>
        </w:numPr>
        <w:shd w:val="clear" w:color="auto" w:fill="auto"/>
        <w:tabs>
          <w:tab w:pos="810" w:val="left"/>
        </w:tabs>
        <w:bidi w:val="0"/>
        <w:spacing w:before="0" w:after="0" w:line="240" w:lineRule="auto"/>
        <w:ind w:left="0" w:right="0" w:firstLine="480"/>
        <w:jc w:val="both"/>
      </w:pPr>
      <w:r>
        <w:rPr>
          <w:color w:val="000000"/>
          <w:spacing w:val="0"/>
          <w:w w:val="100"/>
          <w:position w:val="0"/>
          <w:sz w:val="24"/>
          <w:szCs w:val="24"/>
          <w:shd w:val="clear" w:color="auto" w:fill="auto"/>
          <w:lang w:val="ru-RU" w:eastAsia="ru-RU" w:bidi="ru-RU"/>
        </w:rPr>
        <w:t>Предписание об устранении указанного нарушения Закона не выдавать, поскольку оно не повлияло на результат определения победителя.</w:t>
      </w:r>
    </w:p>
    <w:p>
      <w:pPr>
        <w:pStyle w:val="Style14"/>
        <w:keepNext w:val="0"/>
        <w:keepLines w:val="0"/>
        <w:widowControl w:val="0"/>
        <w:numPr>
          <w:ilvl w:val="0"/>
          <w:numId w:val="13"/>
        </w:numPr>
        <w:shd w:val="clear" w:color="auto" w:fill="auto"/>
        <w:tabs>
          <w:tab w:pos="810" w:val="left"/>
        </w:tabs>
        <w:bidi w:val="0"/>
        <w:spacing w:before="0" w:after="260" w:line="240" w:lineRule="auto"/>
        <w:ind w:left="0" w:right="0" w:firstLine="480"/>
        <w:jc w:val="both"/>
      </w:pPr>
      <w:r>
        <w:rPr>
          <w:color w:val="000000"/>
          <w:spacing w:val="0"/>
          <w:w w:val="100"/>
          <w:position w:val="0"/>
          <w:sz w:val="24"/>
          <w:szCs w:val="24"/>
          <w:shd w:val="clear" w:color="auto" w:fill="auto"/>
          <w:lang w:val="ru-RU" w:eastAsia="ru-RU" w:bidi="ru-RU"/>
        </w:rPr>
        <w:t>Рассмотреть вопрос о привлечении виновного должностного лица Заказчика к административной ответственности.</w:t>
      </w:r>
    </w:p>
    <w:p>
      <w:pPr>
        <w:pStyle w:val="Style2"/>
        <w:keepNext w:val="0"/>
        <w:keepLines w:val="0"/>
        <w:widowControl w:val="0"/>
        <w:shd w:val="clear" w:color="auto" w:fill="auto"/>
        <w:bidi w:val="0"/>
        <w:spacing w:before="0" w:after="320" w:line="240" w:lineRule="auto"/>
        <w:ind w:left="0" w:right="0" w:firstLine="580"/>
        <w:jc w:val="both"/>
        <w:rPr>
          <w:sz w:val="20"/>
          <w:szCs w:val="20"/>
        </w:rPr>
      </w:pPr>
      <w:r>
        <w:rPr>
          <w:color w:val="000000"/>
          <w:spacing w:val="0"/>
          <w:w w:val="100"/>
          <w:position w:val="0"/>
          <w:sz w:val="20"/>
          <w:szCs w:val="20"/>
          <w:shd w:val="clear" w:color="auto" w:fill="auto"/>
          <w:lang w:val="ru-RU" w:eastAsia="ru-RU" w:bidi="ru-RU"/>
        </w:rPr>
        <w:t>В силу ч.9 ст.106 Закона решение может быть обжаловано в судебном порядке в течение трех месяцев со дня его принятия.</w:t>
      </w:r>
    </w:p>
    <w:p>
      <w:pPr>
        <w:pStyle w:val="Style14"/>
        <w:keepNext w:val="0"/>
        <w:keepLines w:val="0"/>
        <w:widowControl w:val="0"/>
        <w:shd w:val="clear" w:color="auto" w:fill="auto"/>
        <w:bidi w:val="0"/>
        <w:spacing w:before="0" w:after="0" w:line="240" w:lineRule="auto"/>
        <w:ind w:left="0" w:right="0" w:firstLine="0"/>
        <w:jc w:val="both"/>
      </w:pPr>
      <w:r>
        <w:fldChar w:fldCharType="begin"/>
      </w:r>
      <w:r>
        <w:rPr/>
        <w:instrText> HYPERLINK "https://login.consultant.ru/link/?req=doc&amp;base=LAW&amp;n=208550" </w:instrText>
      </w:r>
      <w:r>
        <w:fldChar w:fldCharType="separate"/>
      </w:r>
      <w:r>
        <w:rPr>
          <w:color w:val="000000"/>
          <w:spacing w:val="0"/>
          <w:w w:val="100"/>
          <w:position w:val="0"/>
          <w:sz w:val="24"/>
          <w:szCs w:val="24"/>
          <w:shd w:val="clear" w:color="auto" w:fill="auto"/>
          <w:lang w:val="ru-RU" w:eastAsia="ru-RU" w:bidi="ru-RU"/>
        </w:rPr>
        <w:t>Председатель комиссии</w:t>
      </w:r>
      <w:r>
        <w:fldChar w:fldCharType="end"/>
      </w:r>
    </w:p>
    <w:p>
      <w:pPr>
        <w:pStyle w:val="Style14"/>
        <w:keepNext w:val="0"/>
        <w:keepLines w:val="0"/>
        <w:widowControl w:val="0"/>
        <w:shd w:val="clear" w:color="auto" w:fill="auto"/>
        <w:bidi w:val="0"/>
        <w:spacing w:before="0" w:after="1460" w:line="240" w:lineRule="auto"/>
        <w:ind w:left="0" w:right="0" w:firstLine="0"/>
        <w:jc w:val="right"/>
      </w:pPr>
      <w:r>
        <w:fldChar w:fldCharType="begin"/>
      </w:r>
      <w:r>
        <w:rPr/>
        <w:instrText> HYPERLINK "https://login.consultant.ru/link/?req=doc&amp;base=LAW&amp;n=208550" </w:instrText>
      </w:r>
      <w:r>
        <w:fldChar w:fldCharType="separate"/>
      </w:r>
      <w:r>
        <w:rPr>
          <w:color w:val="000000"/>
          <w:spacing w:val="0"/>
          <w:w w:val="100"/>
          <w:position w:val="0"/>
          <w:sz w:val="24"/>
          <w:szCs w:val="24"/>
          <w:shd w:val="clear" w:color="auto" w:fill="auto"/>
          <w:lang w:val="ru-RU" w:eastAsia="ru-RU" w:bidi="ru-RU"/>
        </w:rPr>
        <w:t>Н.А. Кожемяко</w:t>
      </w:r>
      <w:r>
        <w:fldChar w:fldCharType="end"/>
      </w:r>
    </w:p>
    <w:p>
      <w:pPr>
        <w:pStyle w:val="Style14"/>
        <w:keepNext w:val="0"/>
        <w:keepLines w:val="0"/>
        <w:widowControl w:val="0"/>
        <w:shd w:val="clear" w:color="auto" w:fill="auto"/>
        <w:bidi w:val="0"/>
        <w:spacing w:before="0" w:after="320" w:line="240" w:lineRule="auto"/>
        <w:ind w:left="0" w:right="0" w:firstLine="0"/>
        <w:jc w:val="both"/>
      </w:pPr>
      <w:r>
        <mc:AlternateContent>
          <mc:Choice Requires="wps">
            <w:drawing>
              <wp:anchor distT="0" distB="0" distL="114300" distR="114300" simplePos="0" relativeHeight="125829378" behindDoc="0" locked="0" layoutInCell="1" allowOverlap="1">
                <wp:simplePos x="0" y="0"/>
                <wp:positionH relativeFrom="page">
                  <wp:posOffset>6137275</wp:posOffset>
                </wp:positionH>
                <wp:positionV relativeFrom="paragraph">
                  <wp:posOffset>228600</wp:posOffset>
                </wp:positionV>
                <wp:extent cx="1042670" cy="219710"/>
                <wp:wrapSquare wrapText="left"/>
                <wp:docPr id="6" name="Shape 6"/>
                <a:graphic xmlns:a="http://schemas.openxmlformats.org/drawingml/2006/main">
                  <a:graphicData uri="http://schemas.microsoft.com/office/word/2010/wordprocessingShape">
                    <wps:wsp>
                      <wps:cNvSpPr txBox="1"/>
                      <wps:spPr>
                        <a:xfrm>
                          <a:ext cx="1042670" cy="21971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В.В. Лукьянова</w:t>
                            </w:r>
                          </w:p>
                        </w:txbxContent>
                      </wps:txbx>
                      <wps:bodyPr wrap="none" lIns="0" tIns="0" rIns="0" bIns="0">
                        <a:noAutoFit/>
                      </wps:bodyPr>
                    </wps:wsp>
                  </a:graphicData>
                </a:graphic>
              </wp:anchor>
            </w:drawing>
          </mc:Choice>
          <mc:Fallback>
            <w:pict>
              <v:shape id="_x0000_s1032" type="#_x0000_t202" style="position:absolute;margin-left:483.25pt;margin-top:18.pt;width:82.100000000000009pt;height:17.300000000000001pt;z-index:-125829375;mso-wrap-distance-left:9.pt;mso-wrap-distance-right: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В.В. Лукьянова</w:t>
                      </w:r>
                    </w:p>
                  </w:txbxContent>
                </v:textbox>
                <w10:wrap type="square" side="left" anchorx="page"/>
              </v:shape>
            </w:pict>
          </mc:Fallback>
        </mc:AlternateContent>
      </w:r>
      <w:r>
        <w:fldChar w:fldCharType="begin"/>
      </w:r>
      <w:r>
        <w:rPr/>
        <w:instrText> HYPERLINK "https://login.consultant.ru/link/?req=doc&amp;base=LAW&amp;n=208550" </w:instrText>
      </w:r>
      <w:r>
        <w:fldChar w:fldCharType="separate"/>
      </w:r>
      <w:r>
        <w:rPr>
          <w:color w:val="000000"/>
          <w:spacing w:val="0"/>
          <w:w w:val="100"/>
          <w:position w:val="0"/>
          <w:sz w:val="24"/>
          <w:szCs w:val="24"/>
          <w:shd w:val="clear" w:color="auto" w:fill="auto"/>
          <w:lang w:val="ru-RU" w:eastAsia="ru-RU" w:bidi="ru-RU"/>
        </w:rPr>
        <w:t>Члены комиссии:</w:t>
      </w:r>
      <w:r>
        <w:fldChar w:fldCharType="end"/>
      </w:r>
    </w:p>
    <w:p>
      <w:pPr>
        <w:pStyle w:val="Style2"/>
        <w:keepNext w:val="0"/>
        <w:keepLines w:val="0"/>
        <w:widowControl w:val="0"/>
        <w:shd w:val="clear" w:color="auto" w:fill="auto"/>
        <w:bidi w:val="0"/>
        <w:spacing w:before="0" w:after="90" w:line="218" w:lineRule="auto"/>
        <w:ind w:left="3740" w:right="0" w:firstLine="0"/>
        <w:jc w:val="left"/>
        <w:rPr>
          <w:sz w:val="12"/>
          <w:szCs w:val="12"/>
        </w:rPr>
      </w:pPr>
      <w:r>
        <w:rPr>
          <w:color w:val="212121"/>
          <w:spacing w:val="0"/>
          <w:w w:val="100"/>
          <w:position w:val="0"/>
          <w:sz w:val="12"/>
          <w:szCs w:val="12"/>
          <w:shd w:val="clear" w:color="auto" w:fill="auto"/>
          <w:lang w:val="ru-RU" w:eastAsia="ru-RU" w:bidi="ru-RU"/>
        </w:rPr>
        <w:t xml:space="preserve">Подлинник электронного документа, подписанного </w:t>
      </w:r>
      <w:r>
        <w:rPr>
          <w:color w:val="000000"/>
          <w:spacing w:val="0"/>
          <w:w w:val="100"/>
          <w:position w:val="0"/>
          <w:sz w:val="12"/>
          <w:szCs w:val="12"/>
          <w:shd w:val="clear" w:color="auto" w:fill="auto"/>
          <w:lang w:val="ru-RU" w:eastAsia="ru-RU" w:bidi="ru-RU"/>
        </w:rPr>
        <w:t xml:space="preserve">ЭП, </w:t>
      </w:r>
      <w:r>
        <w:rPr>
          <w:color w:val="212121"/>
          <w:spacing w:val="0"/>
          <w:w w:val="100"/>
          <w:position w:val="0"/>
          <w:sz w:val="12"/>
          <w:szCs w:val="12"/>
          <w:shd w:val="clear" w:color="auto" w:fill="auto"/>
          <w:lang w:val="ru-RU" w:eastAsia="ru-RU" w:bidi="ru-RU"/>
        </w:rPr>
        <w:t>хранится в системе электронного документооборота ФАС России</w:t>
      </w:r>
    </w:p>
    <w:p>
      <w:pPr>
        <w:pStyle w:val="Style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rPr>
          <w:sz w:val="11"/>
          <w:szCs w:val="11"/>
        </w:rPr>
      </w:pPr>
      <w:r>
        <w:rPr>
          <w:rFonts w:ascii="Arial" w:eastAsia="Arial" w:hAnsi="Arial" w:cs="Arial"/>
          <w:color w:val="E8E8E8"/>
          <w:spacing w:val="0"/>
          <w:w w:val="100"/>
          <w:position w:val="0"/>
          <w:sz w:val="11"/>
          <w:szCs w:val="11"/>
          <w:shd w:val="clear" w:color="auto" w:fill="auto"/>
          <w:lang w:val="ru-RU" w:eastAsia="ru-RU" w:bidi="ru-RU"/>
        </w:rPr>
        <w:t>СВЕДЕНИЯ О СЕРТИФИКАТЕ ЭП</w:t>
      </w:r>
    </w:p>
    <w:p>
      <w:pPr>
        <w:pStyle w:val="Style2"/>
        <w:keepNext w:val="0"/>
        <w:keepLines w:val="0"/>
        <w:widowControl w:val="0"/>
        <w:shd w:val="clear" w:color="auto" w:fill="auto"/>
        <w:bidi w:val="0"/>
        <w:spacing w:before="0" w:after="0" w:line="276" w:lineRule="auto"/>
        <w:ind w:left="310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 xml:space="preserve">Кому </w:t>
      </w:r>
      <w:r>
        <w:rPr>
          <w:rFonts w:ascii="Arial" w:eastAsia="Arial" w:hAnsi="Arial" w:cs="Arial"/>
          <w:color w:val="646464"/>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1"/>
          <w:szCs w:val="11"/>
          <w:shd w:val="clear" w:color="auto" w:fill="auto"/>
          <w:lang w:val="ru-RU" w:eastAsia="ru-RU" w:bidi="ru-RU"/>
        </w:rPr>
        <w:t xml:space="preserve">Лукьянова Валентина Владимировна </w:t>
      </w:r>
      <w:r>
        <w:rPr>
          <w:rFonts w:ascii="Arial" w:eastAsia="Arial" w:hAnsi="Arial" w:cs="Arial"/>
          <w:color w:val="454545"/>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454545"/>
          <w:spacing w:val="0"/>
          <w:w w:val="100"/>
          <w:position w:val="0"/>
          <w:sz w:val="12"/>
          <w:szCs w:val="12"/>
          <w:shd w:val="clear" w:color="auto" w:fill="auto"/>
          <w:lang w:val="ru-RU" w:eastAsia="ru-RU" w:bidi="ru-RU"/>
        </w:rPr>
        <w:t>00Е94О48ЕЕ8607ЭЕ917ВЗЕСС34ЕЭ30654</w:t>
      </w:r>
      <w:r>
        <w:rPr>
          <w:rFonts w:ascii="Arial" w:eastAsia="Arial" w:hAnsi="Arial" w:cs="Arial"/>
          <w:color w:val="454545"/>
          <w:spacing w:val="0"/>
          <w:w w:val="100"/>
          <w:position w:val="0"/>
          <w:sz w:val="12"/>
          <w:szCs w:val="12"/>
          <w:shd w:val="clear" w:color="auto" w:fill="auto"/>
          <w:lang w:val="ru-RU" w:eastAsia="ru-RU" w:bidi="ru-RU"/>
        </w:rPr>
        <w:t>9</w:t>
      </w:r>
    </w:p>
    <w:p>
      <w:pPr>
        <w:pStyle w:val="Style2"/>
        <w:keepNext w:val="0"/>
        <w:keepLines w:val="0"/>
        <w:widowControl w:val="0"/>
        <w:shd w:val="clear" w:color="auto" w:fill="auto"/>
        <w:bidi w:val="0"/>
        <w:spacing w:before="0" w:after="320" w:line="276" w:lineRule="auto"/>
        <w:ind w:left="3100" w:right="0" w:firstLine="0"/>
        <w:jc w:val="left"/>
        <w:rPr>
          <w:sz w:val="12"/>
          <w:szCs w:val="12"/>
        </w:rPr>
      </w:pPr>
      <w:r>
        <w:rPr>
          <w:rFonts w:ascii="Arial" w:eastAsia="Arial" w:hAnsi="Arial" w:cs="Arial"/>
          <w:color w:val="646464"/>
          <w:spacing w:val="0"/>
          <w:w w:val="100"/>
          <w:position w:val="0"/>
          <w:sz w:val="12"/>
          <w:szCs w:val="12"/>
          <w:shd w:val="clear" w:color="auto" w:fill="auto"/>
          <w:lang w:val="ru-RU" w:eastAsia="ru-RU" w:bidi="ru-RU"/>
        </w:rPr>
        <w:t xml:space="preserve">Действителен </w:t>
      </w:r>
      <w:r>
        <w:rPr>
          <w:rFonts w:ascii="Arial" w:eastAsia="Arial" w:hAnsi="Arial" w:cs="Arial"/>
          <w:color w:val="454545"/>
          <w:spacing w:val="0"/>
          <w:w w:val="100"/>
          <w:position w:val="0"/>
          <w:sz w:val="12"/>
          <w:szCs w:val="12"/>
          <w:shd w:val="clear" w:color="auto" w:fill="auto"/>
          <w:lang w:val="ru-RU" w:eastAsia="ru-RU" w:bidi="ru-RU"/>
        </w:rPr>
        <w:t xml:space="preserve">с </w:t>
      </w:r>
      <w:r>
        <w:rPr>
          <w:rFonts w:ascii="Arial" w:eastAsia="Arial" w:hAnsi="Arial" w:cs="Arial"/>
          <w:color w:val="646464"/>
          <w:spacing w:val="0"/>
          <w:w w:val="100"/>
          <w:position w:val="0"/>
          <w:sz w:val="12"/>
          <w:szCs w:val="12"/>
          <w:shd w:val="clear" w:color="auto" w:fill="auto"/>
          <w:lang w:val="ru-RU" w:eastAsia="ru-RU" w:bidi="ru-RU"/>
        </w:rPr>
        <w:t xml:space="preserve">29.02.2024 </w:t>
      </w:r>
      <w:r>
        <w:rPr>
          <w:rFonts w:ascii="Arial" w:eastAsia="Arial" w:hAnsi="Arial" w:cs="Arial"/>
          <w:color w:val="878787"/>
          <w:spacing w:val="0"/>
          <w:w w:val="100"/>
          <w:position w:val="0"/>
          <w:sz w:val="12"/>
          <w:szCs w:val="12"/>
          <w:shd w:val="clear" w:color="auto" w:fill="auto"/>
          <w:lang w:val="ru-RU" w:eastAsia="ru-RU" w:bidi="ru-RU"/>
        </w:rPr>
        <w:t xml:space="preserve">по </w:t>
      </w:r>
      <w:r>
        <w:rPr>
          <w:rFonts w:ascii="Arial" w:eastAsia="Arial" w:hAnsi="Arial" w:cs="Arial"/>
          <w:color w:val="454545"/>
          <w:spacing w:val="0"/>
          <w:w w:val="100"/>
          <w:position w:val="0"/>
          <w:sz w:val="12"/>
          <w:szCs w:val="12"/>
          <w:shd w:val="clear" w:color="auto" w:fill="auto"/>
          <w:lang w:val="ru-RU" w:eastAsia="ru-RU" w:bidi="ru-RU"/>
        </w:rPr>
        <w:t>24.05.2025</w:t>
      </w:r>
    </w:p>
    <w:p>
      <w:pPr>
        <w:pStyle w:val="Style14"/>
        <w:keepNext w:val="0"/>
        <w:keepLines w:val="0"/>
        <w:widowControl w:val="0"/>
        <w:shd w:val="clear" w:color="auto" w:fill="auto"/>
        <w:bidi w:val="0"/>
        <w:spacing w:before="0" w:after="680" w:line="240" w:lineRule="auto"/>
        <w:ind w:left="0" w:right="0" w:firstLine="0"/>
        <w:jc w:val="right"/>
      </w:pPr>
      <w:r>
        <w:drawing>
          <wp:anchor distT="0" distB="0" distL="114300" distR="1900555" simplePos="0" relativeHeight="125829380" behindDoc="0" locked="0" layoutInCell="1" allowOverlap="1">
            <wp:simplePos x="0" y="0"/>
            <wp:positionH relativeFrom="page">
              <wp:posOffset>2649855</wp:posOffset>
            </wp:positionH>
            <wp:positionV relativeFrom="paragraph">
              <wp:posOffset>63500</wp:posOffset>
            </wp:positionV>
            <wp:extent cx="353695" cy="536575"/>
            <wp:wrapSquare wrapText="right"/>
            <wp:docPr id="8" name="Shape 8"/>
            <a:graphic xmlns:a="http://schemas.openxmlformats.org/drawingml/2006/main">
              <a:graphicData uri="http://schemas.openxmlformats.org/drawingml/2006/picture">
                <pic:pic xmlns:pic="http://schemas.openxmlformats.org/drawingml/2006/picture">
                  <pic:nvPicPr>
                    <pic:cNvPr id="9" name="Picture box 9"/>
                    <pic:cNvPicPr/>
                  </pic:nvPicPr>
                  <pic:blipFill>
                    <a:blip r:embed="rId9"/>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3107055</wp:posOffset>
                </wp:positionH>
                <wp:positionV relativeFrom="paragraph">
                  <wp:posOffset>462915</wp:posOffset>
                </wp:positionV>
                <wp:extent cx="1286510" cy="103505"/>
                <wp:wrapNone/>
                <wp:docPr id="10" name="Shape 10"/>
                <a:graphic xmlns:a="http://schemas.openxmlformats.org/drawingml/2006/main">
                  <a:graphicData uri="http://schemas.microsoft.com/office/word/2010/wordprocessingShape">
                    <wps:wsp>
                      <wps:cNvSpPr txBox="1"/>
                      <wps:spPr>
                        <a:xfrm>
                          <a:ext cx="1286510" cy="103505"/>
                        </a:xfrm>
                        <a:prstGeom prst="rect"/>
                        <a:noFill/>
                      </wps:spPr>
                      <wps:txbx>
                        <w:txbxContent>
                          <w:p>
                            <w:pPr>
                              <w:pStyle w:val="Style1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8E8E8"/>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6" type="#_x0000_t202" style="position:absolute;margin-left:244.65000000000001pt;margin-top:36.450000000000003pt;width:101.3pt;height:8.1500000000000004pt;z-index:251657729;mso-wrap-distance-left:0;mso-wrap-distance-right:0;mso-position-horizontal-relative:page" filled="f" stroked="f">
                <v:textbox inset="0,0,0,0">
                  <w:txbxContent>
                    <w:p>
                      <w:pPr>
                        <w:pStyle w:val="Style1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rFonts w:ascii="Arial" w:eastAsia="Arial" w:hAnsi="Arial" w:cs="Arial"/>
                          <w:color w:val="E8E8E8"/>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3064510</wp:posOffset>
                </wp:positionH>
                <wp:positionV relativeFrom="paragraph">
                  <wp:posOffset>151765</wp:posOffset>
                </wp:positionV>
                <wp:extent cx="1722120" cy="255905"/>
                <wp:wrapNone/>
                <wp:docPr id="12" name="Shape 12"/>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1"/>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8" type="#_x0000_t202" style="position:absolute;margin-left:241.30000000000001pt;margin-top:11.950000000000001pt;width:135.59999999999999pt;height:20.150000000000002pt;z-index:251657731;mso-wrap-distance-left:0;mso-wrap-distance-right:0;mso-position-horizontal-relative:page" filled="f" stroked="f">
                <v:textbox inset="0,0,0,0">
                  <w:txbxContent>
                    <w:p>
                      <w:pPr>
                        <w:pStyle w:val="Style11"/>
                        <w:keepNext w:val="0"/>
                        <w:keepLines w:val="0"/>
                        <w:widowControl w:val="0"/>
                        <w:shd w:val="clear" w:color="auto" w:fill="auto"/>
                        <w:bidi w:val="0"/>
                        <w:spacing w:before="0" w:after="0" w:line="218"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А.А. Вертий</w:t>
      </w:r>
    </w:p>
    <w:p>
      <w:pPr>
        <w:pStyle w:val="Style2"/>
        <w:keepNext w:val="0"/>
        <w:keepLines w:val="0"/>
        <w:widowControl w:val="0"/>
        <w:shd w:val="clear" w:color="auto" w:fill="auto"/>
        <w:bidi w:val="0"/>
        <w:spacing w:before="0" w:after="0" w:line="240" w:lineRule="auto"/>
        <w:ind w:left="3100" w:right="0" w:firstLine="0"/>
        <w:jc w:val="left"/>
        <w:rPr>
          <w:sz w:val="11"/>
          <w:szCs w:val="11"/>
        </w:rPr>
      </w:pPr>
      <w:r>
        <w:rPr>
          <w:rFonts w:ascii="Arial" w:eastAsia="Arial" w:hAnsi="Arial" w:cs="Arial"/>
          <w:color w:val="000000"/>
          <w:spacing w:val="0"/>
          <w:w w:val="100"/>
          <w:position w:val="0"/>
          <w:sz w:val="12"/>
          <w:szCs w:val="12"/>
          <w:shd w:val="clear" w:color="auto" w:fill="auto"/>
          <w:lang w:val="ru-RU" w:eastAsia="ru-RU" w:bidi="ru-RU"/>
        </w:rPr>
        <w:t xml:space="preserve">Кому </w:t>
      </w:r>
      <w:r>
        <w:rPr>
          <w:rFonts w:ascii="Arial" w:eastAsia="Arial" w:hAnsi="Arial" w:cs="Arial"/>
          <w:color w:val="646464"/>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1"/>
          <w:szCs w:val="11"/>
          <w:shd w:val="clear" w:color="auto" w:fill="auto"/>
          <w:lang w:val="ru-RU" w:eastAsia="ru-RU" w:bidi="ru-RU"/>
        </w:rPr>
        <w:t>Вертий Анастасия Андреевна</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454545"/>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454545"/>
          <w:spacing w:val="0"/>
          <w:w w:val="100"/>
          <w:position w:val="0"/>
          <w:sz w:val="12"/>
          <w:szCs w:val="12"/>
          <w:shd w:val="clear" w:color="auto" w:fill="auto"/>
          <w:lang w:val="ru-RU" w:eastAsia="ru-RU" w:bidi="ru-RU"/>
        </w:rPr>
        <w:t xml:space="preserve">59900524С74694Е541 </w:t>
      </w:r>
      <w:r>
        <w:rPr>
          <w:rFonts w:ascii="Arial" w:eastAsia="Arial" w:hAnsi="Arial" w:cs="Arial"/>
          <w:color w:val="646464"/>
          <w:spacing w:val="0"/>
          <w:w w:val="100"/>
          <w:position w:val="0"/>
          <w:sz w:val="12"/>
          <w:szCs w:val="12"/>
          <w:shd w:val="clear" w:color="auto" w:fill="auto"/>
          <w:lang w:val="ru-RU" w:eastAsia="ru-RU" w:bidi="ru-RU"/>
        </w:rPr>
        <w:t>Е0761</w:t>
      </w:r>
      <w:r>
        <w:rPr>
          <w:rFonts w:ascii="Arial" w:eastAsia="Arial" w:hAnsi="Arial" w:cs="Arial"/>
          <w:color w:val="454545"/>
          <w:spacing w:val="0"/>
          <w:w w:val="100"/>
          <w:position w:val="0"/>
          <w:sz w:val="12"/>
          <w:szCs w:val="12"/>
          <w:shd w:val="clear" w:color="auto" w:fill="auto"/>
          <w:lang w:val="ru-RU" w:eastAsia="ru-RU" w:bidi="ru-RU"/>
        </w:rPr>
        <w:t>1 ВАЕ4944С</w:t>
      </w:r>
    </w:p>
    <w:p>
      <w:pPr>
        <w:pStyle w:val="Style2"/>
        <w:keepNext w:val="0"/>
        <w:keepLines w:val="0"/>
        <w:widowControl w:val="0"/>
        <w:shd w:val="clear" w:color="auto" w:fill="auto"/>
        <w:bidi w:val="0"/>
        <w:spacing w:before="0" w:after="4420" w:line="240" w:lineRule="auto"/>
        <w:ind w:left="3100" w:right="0" w:firstLine="0"/>
        <w:jc w:val="left"/>
        <w:rPr>
          <w:sz w:val="12"/>
          <w:szCs w:val="12"/>
        </w:rPr>
      </w:pPr>
      <w:r>
        <w:rPr>
          <w:rFonts w:ascii="Arial" w:eastAsia="Arial" w:hAnsi="Arial" w:cs="Arial"/>
          <w:color w:val="646464"/>
          <w:spacing w:val="0"/>
          <w:w w:val="100"/>
          <w:position w:val="0"/>
          <w:sz w:val="12"/>
          <w:szCs w:val="12"/>
          <w:shd w:val="clear" w:color="auto" w:fill="auto"/>
          <w:lang w:val="ru-RU" w:eastAsia="ru-RU" w:bidi="ru-RU"/>
        </w:rPr>
        <w:t xml:space="preserve">Действителен </w:t>
      </w:r>
      <w:r>
        <w:rPr>
          <w:rFonts w:ascii="Arial" w:eastAsia="Arial" w:hAnsi="Arial" w:cs="Arial"/>
          <w:color w:val="212121"/>
          <w:spacing w:val="0"/>
          <w:w w:val="100"/>
          <w:position w:val="0"/>
          <w:sz w:val="12"/>
          <w:szCs w:val="12"/>
          <w:shd w:val="clear" w:color="auto" w:fill="auto"/>
          <w:lang w:val="ru-RU" w:eastAsia="ru-RU" w:bidi="ru-RU"/>
        </w:rPr>
        <w:t xml:space="preserve">с </w:t>
      </w:r>
      <w:r>
        <w:rPr>
          <w:rFonts w:ascii="Arial" w:eastAsia="Arial" w:hAnsi="Arial" w:cs="Arial"/>
          <w:color w:val="454545"/>
          <w:spacing w:val="0"/>
          <w:w w:val="100"/>
          <w:position w:val="0"/>
          <w:sz w:val="12"/>
          <w:szCs w:val="12"/>
          <w:shd w:val="clear" w:color="auto" w:fill="auto"/>
          <w:lang w:val="ru-RU" w:eastAsia="ru-RU" w:bidi="ru-RU"/>
        </w:rPr>
        <w:t xml:space="preserve">22.05.2024 </w:t>
      </w:r>
      <w:r>
        <w:rPr>
          <w:rFonts w:ascii="Arial" w:eastAsia="Arial" w:hAnsi="Arial" w:cs="Arial"/>
          <w:color w:val="878787"/>
          <w:spacing w:val="0"/>
          <w:w w:val="100"/>
          <w:position w:val="0"/>
          <w:sz w:val="12"/>
          <w:szCs w:val="12"/>
          <w:shd w:val="clear" w:color="auto" w:fill="auto"/>
          <w:lang w:val="ru-RU" w:eastAsia="ru-RU" w:bidi="ru-RU"/>
        </w:rPr>
        <w:t xml:space="preserve">по </w:t>
      </w:r>
      <w:r>
        <w:rPr>
          <w:rFonts w:ascii="Arial" w:eastAsia="Arial" w:hAnsi="Arial" w:cs="Arial"/>
          <w:color w:val="646464"/>
          <w:spacing w:val="0"/>
          <w:w w:val="100"/>
          <w:position w:val="0"/>
          <w:sz w:val="12"/>
          <w:szCs w:val="12"/>
          <w:shd w:val="clear" w:color="auto" w:fill="auto"/>
          <w:lang w:val="ru-RU" w:eastAsia="ru-RU" w:bidi="ru-RU"/>
        </w:rPr>
        <w:t>15.08.2025</w:t>
      </w:r>
    </w:p>
    <w:p>
      <w:pPr>
        <w:pStyle w:val="Style2"/>
        <w:keepNext w:val="0"/>
        <w:keepLines w:val="0"/>
        <w:widowControl w:val="0"/>
        <w:shd w:val="clear" w:color="auto" w:fill="auto"/>
        <w:bidi w:val="0"/>
        <w:spacing w:before="0" w:after="0" w:line="240" w:lineRule="auto"/>
        <w:ind w:left="0" w:right="0" w:firstLine="0"/>
        <w:jc w:val="left"/>
        <w:rPr>
          <w:sz w:val="18"/>
          <w:szCs w:val="18"/>
        </w:rPr>
      </w:pPr>
      <w:r>
        <w:fldChar w:fldCharType="begin"/>
      </w:r>
      <w:r>
        <w:rPr/>
        <w:instrText> HYPERLINK "https://login.consultant.ru/link/?req=doc&amp;base=LAW&amp;n=208550" </w:instrText>
      </w:r>
      <w:r>
        <w:fldChar w:fldCharType="separate"/>
      </w:r>
      <w:r>
        <w:rPr>
          <w:color w:val="000000"/>
          <w:spacing w:val="0"/>
          <w:w w:val="100"/>
          <w:position w:val="0"/>
          <w:sz w:val="18"/>
          <w:szCs w:val="18"/>
          <w:shd w:val="clear" w:color="auto" w:fill="auto"/>
          <w:lang w:val="ru-RU" w:eastAsia="ru-RU" w:bidi="ru-RU"/>
        </w:rPr>
        <w:t>Исп.Вертий А.А.</w:t>
      </w:r>
      <w:r>
        <w:fldChar w:fldCharType="end"/>
      </w:r>
    </w:p>
    <w:p>
      <w:pPr>
        <w:pStyle w:val="Style2"/>
        <w:keepNext w:val="0"/>
        <w:keepLines w:val="0"/>
        <w:widowControl w:val="0"/>
        <w:shd w:val="clear" w:color="auto" w:fill="auto"/>
        <w:bidi w:val="0"/>
        <w:spacing w:before="0" w:after="280" w:line="240" w:lineRule="auto"/>
        <w:ind w:left="0" w:right="0" w:firstLine="0"/>
        <w:jc w:val="left"/>
        <w:rPr>
          <w:sz w:val="18"/>
          <w:szCs w:val="18"/>
        </w:rPr>
      </w:pPr>
      <w:r>
        <w:fldChar w:fldCharType="begin"/>
      </w:r>
      <w:r>
        <w:rPr/>
        <w:instrText> HYPERLINK "https://login.consultant.ru/link/?req=doc&amp;base=LAW&amp;n=208550" </w:instrText>
      </w:r>
      <w:r>
        <w:fldChar w:fldCharType="separate"/>
      </w:r>
      <w:r>
        <w:rPr>
          <w:color w:val="000000"/>
          <w:spacing w:val="0"/>
          <w:w w:val="100"/>
          <w:position w:val="0"/>
          <w:sz w:val="18"/>
          <w:szCs w:val="18"/>
          <w:shd w:val="clear" w:color="auto" w:fill="auto"/>
          <w:lang w:val="ru-RU" w:eastAsia="ru-RU" w:bidi="ru-RU"/>
        </w:rPr>
        <w:t>тел.(863) 240-86-88, вн.061-132</w:t>
      </w:r>
      <w:r>
        <w:fldChar w:fldCharType="end"/>
      </w:r>
    </w:p>
    <w:sectPr>
      <w:footnotePr>
        <w:pos w:val="pageBottom"/>
        <w:numFmt w:val="decimal"/>
        <w:numRestart w:val="continuous"/>
      </w:footnotePr>
      <w:type w:val="continuous"/>
      <w:pgSz w:w="11900" w:h="16840"/>
      <w:pgMar w:top="1029" w:right="510" w:bottom="1197" w:left="105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717550</wp:posOffset>
              </wp:positionH>
              <wp:positionV relativeFrom="page">
                <wp:posOffset>9999980</wp:posOffset>
              </wp:positionV>
              <wp:extent cx="3267710" cy="103505"/>
              <wp:wrapNone/>
              <wp:docPr id="2" name="Shape 2"/>
              <a:graphic xmlns:a="http://schemas.openxmlformats.org/drawingml/2006/main">
                <a:graphicData uri="http://schemas.microsoft.com/office/word/2010/wordprocessingShape">
                  <wps:wsp>
                    <wps:cNvSpPr txBox="1"/>
                    <wps:spPr>
                      <a:xfrm>
                        <a:ext cx="3267710" cy="103505"/>
                      </a:xfrm>
                      <a:prstGeom prst="rect"/>
                      <a:noFill/>
                    </wps:spPr>
                    <wps:txbx>
                      <w:txbxContent>
                        <w:p>
                          <w:pPr>
                            <w:pStyle w:val="Style5"/>
                            <w:keepNext w:val="0"/>
                            <w:keepLines w:val="0"/>
                            <w:widowControl w:val="0"/>
                            <w:shd w:val="clear" w:color="auto" w:fill="auto"/>
                            <w:tabs>
                              <w:tab w:pos="5146"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2024-19032</w:t>
                            <w:tab/>
                          </w:r>
                          <w:fldSimple w:instr=" PAGE \* MERGEFORMAT ">
                            <w:r>
                              <w:rPr>
                                <w:color w:val="000000"/>
                                <w:spacing w:val="0"/>
                                <w:w w:val="100"/>
                                <w:position w:val="0"/>
                                <w:sz w:val="24"/>
                                <w:szCs w:val="24"/>
                                <w:shd w:val="clear" w:color="auto" w:fill="auto"/>
                                <w:lang w:val="ru-RU" w:eastAsia="ru-RU" w:bidi="ru-RU"/>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6.5pt;margin-top:787.39999999999998pt;width:257.30000000000001pt;height:8.1500000000000004pt;z-index:-188744063;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tabs>
                        <w:tab w:pos="5146"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2024-19032</w:t>
                      <w:tab/>
                    </w: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25170" cy="100330"/>
              <wp:wrapNone/>
              <wp:docPr id="4" name="Shape 4"/>
              <a:graphic xmlns:a="http://schemas.openxmlformats.org/drawingml/2006/main">
                <a:graphicData uri="http://schemas.microsoft.com/office/word/2010/wordprocessingShape">
                  <wps:wsp>
                    <wps:cNvSpPr txBox="1"/>
                    <wps:spPr>
                      <a:xfrm>
                        <a:ext cx="7251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2024-19032</w:t>
                          </w:r>
                        </w:p>
                      </w:txbxContent>
                    </wps:txbx>
                    <wps:bodyPr wrap="none" lIns="0" tIns="0" rIns="0" bIns="0">
                      <a:spAutoFit/>
                    </wps:bodyPr>
                  </wps:wsp>
                </a:graphicData>
              </a:graphic>
            </wp:anchor>
          </w:drawing>
        </mc:Choice>
        <mc:Fallback>
          <w:pict>
            <v:shape id="_x0000_s1030" type="#_x0000_t202" style="position:absolute;margin-left:57.pt;margin-top:776.20000000000005pt;width:57.100000000000001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2024-19032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8">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Другое_"/>
    <w:basedOn w:val="DefaultParagraphFont"/>
    <w:link w:val="Style2"/>
    <w:rPr>
      <w:rFonts w:ascii="Times New Roman" w:eastAsia="Times New Roman" w:hAnsi="Times New Roman" w:cs="Times New Roman"/>
      <w:b w:val="0"/>
      <w:bCs w:val="0"/>
      <w:i w:val="0"/>
      <w:iCs w:val="0"/>
      <w:smallCaps w:val="0"/>
      <w:strike w:val="0"/>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12">
    <w:name w:val="Подпись к картинке_"/>
    <w:basedOn w:val="DefaultParagraphFont"/>
    <w:link w:val="Style11"/>
    <w:rPr>
      <w:rFonts w:ascii="Times New Roman" w:eastAsia="Times New Roman" w:hAnsi="Times New Roman" w:cs="Times New Roman"/>
      <w:b w:val="0"/>
      <w:bCs w:val="0"/>
      <w:i w:val="0"/>
      <w:iCs w:val="0"/>
      <w:smallCaps w:val="0"/>
      <w:strike w:val="0"/>
      <w:color w:val="212121"/>
      <w:sz w:val="12"/>
      <w:szCs w:val="12"/>
      <w:u w:val="none"/>
    </w:rPr>
  </w:style>
  <w:style w:type="character" w:customStyle="1" w:styleId="CharStyle15">
    <w:name w:val="Основной текст_"/>
    <w:basedOn w:val="DefaultParagraphFont"/>
    <w:link w:val="Style14"/>
    <w:rPr>
      <w:rFonts w:ascii="Times New Roman" w:eastAsia="Times New Roman" w:hAnsi="Times New Roman" w:cs="Times New Roman"/>
      <w:b w:val="0"/>
      <w:bCs w:val="0"/>
      <w:i w:val="0"/>
      <w:iCs w:val="0"/>
      <w:smallCaps w:val="0"/>
      <w:strike w:val="0"/>
      <w:u w:val="none"/>
    </w:rPr>
  </w:style>
  <w:style w:type="character" w:customStyle="1" w:styleId="CharStyle32">
    <w:name w:val="Подпись к таблице_"/>
    <w:basedOn w:val="DefaultParagraphFont"/>
    <w:link w:val="Style31"/>
    <w:rPr>
      <w:rFonts w:ascii="Times New Roman" w:eastAsia="Times New Roman" w:hAnsi="Times New Roman" w:cs="Times New Roman"/>
      <w:b w:val="0"/>
      <w:bCs w:val="0"/>
      <w:i w:val="0"/>
      <w:iCs w:val="0"/>
      <w:smallCaps w:val="0"/>
      <w:strike w:val="0"/>
      <w:sz w:val="20"/>
      <w:szCs w:val="20"/>
      <w:u w:val="none"/>
    </w:rPr>
  </w:style>
  <w:style w:type="character" w:customStyle="1" w:styleId="CharStyle38">
    <w:name w:val="Заголовок №1_"/>
    <w:basedOn w:val="DefaultParagraphFont"/>
    <w:link w:val="Style37"/>
    <w:rPr>
      <w:rFonts w:ascii="Times New Roman" w:eastAsia="Times New Roman" w:hAnsi="Times New Roman" w:cs="Times New Roman"/>
      <w:b/>
      <w:bCs/>
      <w:i w:val="0"/>
      <w:iCs w:val="0"/>
      <w:smallCaps w:val="0"/>
      <w:strike w:val="0"/>
      <w:sz w:val="20"/>
      <w:szCs w:val="20"/>
      <w:u w:val="none"/>
    </w:rPr>
  </w:style>
  <w:style w:type="paragraph" w:customStyle="1" w:styleId="Style2">
    <w:name w:val="Другое"/>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1">
    <w:name w:val="Подпись к картинке"/>
    <w:basedOn w:val="Normal"/>
    <w:link w:val="CharStyle12"/>
    <w:pPr>
      <w:widowControl w:val="0"/>
      <w:shd w:val="clear" w:color="auto" w:fill="auto"/>
      <w:spacing w:line="228" w:lineRule="auto"/>
    </w:pPr>
    <w:rPr>
      <w:rFonts w:ascii="Times New Roman" w:eastAsia="Times New Roman" w:hAnsi="Times New Roman" w:cs="Times New Roman"/>
      <w:b w:val="0"/>
      <w:bCs w:val="0"/>
      <w:i w:val="0"/>
      <w:iCs w:val="0"/>
      <w:smallCaps w:val="0"/>
      <w:strike w:val="0"/>
      <w:color w:val="212121"/>
      <w:sz w:val="12"/>
      <w:szCs w:val="12"/>
      <w:u w:val="none"/>
    </w:rPr>
  </w:style>
  <w:style w:type="paragraph" w:customStyle="1" w:styleId="Style14">
    <w:name w:val="Основной текст"/>
    <w:basedOn w:val="Normal"/>
    <w:link w:val="CharStyle15"/>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31">
    <w:name w:val="Подпись к таблице"/>
    <w:basedOn w:val="Normal"/>
    <w:link w:val="CharStyle32"/>
    <w:pPr>
      <w:widowControl w:val="0"/>
      <w:shd w:val="clear" w:color="auto" w:fill="auto"/>
      <w:ind w:firstLine="560"/>
    </w:pPr>
    <w:rPr>
      <w:rFonts w:ascii="Times New Roman" w:eastAsia="Times New Roman" w:hAnsi="Times New Roman" w:cs="Times New Roman"/>
      <w:b w:val="0"/>
      <w:bCs w:val="0"/>
      <w:i w:val="0"/>
      <w:iCs w:val="0"/>
      <w:smallCaps w:val="0"/>
      <w:strike w:val="0"/>
      <w:sz w:val="20"/>
      <w:szCs w:val="20"/>
      <w:u w:val="none"/>
    </w:rPr>
  </w:style>
  <w:style w:type="paragraph" w:customStyle="1" w:styleId="Style37">
    <w:name w:val="Заголовок №1"/>
    <w:basedOn w:val="Normal"/>
    <w:link w:val="CharStyle38"/>
    <w:pPr>
      <w:widowControl w:val="0"/>
      <w:shd w:val="clear" w:color="auto" w:fill="auto"/>
      <w:spacing w:after="200"/>
      <w:jc w:val="right"/>
      <w:outlineLvl w:val="0"/>
    </w:pPr>
    <w:rPr>
      <w:rFonts w:ascii="Times New Roman" w:eastAsia="Times New Roman" w:hAnsi="Times New Roman" w:cs="Times New Roman"/>
      <w:b/>
      <w:bCs/>
      <w:i w:val="0"/>
      <w:iCs w:val="0"/>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jpeg"/><Relationship Id="rId10" Type="http://schemas.openxmlformats.org/officeDocument/2006/relationships/image" Target="media/image2.jpeg" TargetMode="External"/></Relationships>
</file>

<file path=docProps/core.xml><?xml version="1.0" encoding="utf-8"?>
<cp:coreProperties xmlns:cp="http://schemas.openxmlformats.org/package/2006/metadata/core-properties" xmlns:dc="http://purl.org/dc/elements/1.1/">
  <dc:title>Решение ФАС России от 26.03.2024 по делу N 28/06/105-814/2024Суть жалобы: Заказчик неправомерно установил дополнительные требования к участникам закупки в соответствии с позицией 12 приложения к Постановлению Правительства РФ от 29.12.2021 N 2571.Решение: 1) Жалоба признана обоснованной, так как подлежащие сносу в рамках исполнения контракта нестационарные объекты питания не являются объектами капитального строительства, действия заказчика нарушают п. 12 ч. 1 ст. 42 Закона о контрактной системе; 2) Заказч</dc:title>
  <dc:subject/>
  <dc:creator/>
  <cp:keywords/>
</cp:coreProperties>
</file>