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60960</wp:posOffset>
                </wp:positionV>
                <wp:extent cx="2045335" cy="30162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80.049999999999997pt;margin-top:4.7999999999999998pt;width:161.05000000000001pt;height:23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62" w:right="1040" w:bottom="621" w:left="64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№ 31 им. академика Г.М. Савельевой ДЗМ»</w:t>
      </w:r>
    </w:p>
    <w:p>
      <w:pPr>
        <w:pStyle w:val="Style2"/>
        <w:keepNext w:val="0"/>
        <w:keepLines w:val="0"/>
        <w:framePr w:w="1411" w:h="240" w:wrap="none" w:vAnchor="text" w:hAnchor="page" w:x="251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framePr w:w="1138" w:h="240" w:wrap="none" w:vAnchor="text" w:hAnchor="page" w:x="2653" w:y="4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framePr w:w="3182" w:h="394" w:wrap="none" w:vAnchor="text" w:hAnchor="page" w:x="6406" w:y="2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^С^I-одx31@x^^аV.то8.^и</w:t>
      </w:r>
    </w:p>
    <w:p>
      <w:pPr>
        <w:pStyle w:val="Style2"/>
        <w:keepNext w:val="0"/>
        <w:keepLines w:val="0"/>
        <w:framePr w:w="2453" w:h="461" w:wrap="none" w:vAnchor="text" w:hAnchor="page" w:x="198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</w:r>
    </w:p>
    <w:p>
      <w:pPr>
        <w:pStyle w:val="Style5"/>
        <w:keepNext w:val="0"/>
        <w:keepLines w:val="0"/>
        <w:framePr w:w="2218" w:h="398" w:wrap="none" w:vAnchor="text" w:hAnchor="page" w:x="6406" w:y="8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Засецкий С.А.</w:t>
      </w:r>
    </w:p>
    <w:p>
      <w:pPr>
        <w:pStyle w:val="Style2"/>
        <w:keepNext w:val="0"/>
        <w:keepLines w:val="0"/>
        <w:framePr w:w="3840" w:h="893" w:wrap="none" w:vAnchor="text" w:hAnchor="page" w:x="1266" w:y="130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1о77@Та8.еоу.ги</w:t>
      </w:r>
    </w:p>
    <w:p>
      <w:pPr>
        <w:pStyle w:val="Style11"/>
        <w:keepNext/>
        <w:keepLines/>
        <w:framePr w:w="3840" w:h="893" w:wrap="none" w:vAnchor="text" w:hAnchor="page" w:x="1266" w:y="1307"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26.09.2024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39778/24</w:t>
      </w:r>
      <w:bookmarkEnd w:id="0"/>
    </w:p>
    <w:p>
      <w:pPr>
        <w:pStyle w:val="Style5"/>
        <w:keepNext w:val="0"/>
        <w:keepLines w:val="0"/>
        <w:framePr w:w="2674" w:h="398" w:wrap="none" w:vAnchor="text" w:hAnchor="page" w:x="6411" w:y="14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^р-xа8е^8ку@уап4еx.^и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6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2313" w:bottom="621" w:left="198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2"/>
        <w:keepNext w:val="0"/>
        <w:keepLines w:val="0"/>
        <w:framePr w:w="490" w:h="240" w:wrap="none" w:vAnchor="text" w:hAnchor="page" w:x="114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На№</w:t>
      </w:r>
    </w:p>
    <w:p>
      <w:pPr>
        <w:widowControl w:val="0"/>
        <w:spacing w:after="23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6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077/06/106-12667/2024 о нарушении</w:t>
        <w:br/>
        <w:t>законодательства о контрактной системе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6402070</wp:posOffset>
                </wp:positionH>
                <wp:positionV relativeFrom="paragraph">
                  <wp:posOffset>38100</wp:posOffset>
                </wp:positionV>
                <wp:extent cx="798830" cy="20129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883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04.10000000000002pt;margin-top:3.pt;width:62.899999999999999pt;height:15.8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23.09.2024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(далее - Комиссия Управления) в составе: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№ 31 им. академика Г.М. Савельевой ДЗМ»: Ж.А. Карнауховой (доверенность от 09.01.2024 №б/н),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Засецкий С.А., о времени и порядке заседания Комиссии Управления уведомленных посредством функционала Единой информационной системы,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6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Засецкий С. А. (далее — Заявитель) на действия ГБУЗ «ГКБ № 31 им. академика Г.М. Савельевой ДЗМ» (далее-Заказчик) при проведении электронного аукциона на право заключения государственного контракта на поставку дезинфицирующих средств для отделения эндоскопии для нужд ГБУЗ «ГКБ № 31 им. академика Г.М. Савельевой ДЗМ» (Закупка № 0373200025624000590) (далее -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России, Комиссия Управления установила следующее.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в описании объекта закупки Заказчиком установлено неправомерное, ограничивающие требование к закупаемым товарам «Средство дезинфицирующее».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306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частности Заявитель указывает на следующее требование: «Средство дезинфицирующее»:</w:t>
        <w:tab/>
        <w:t>«Совместимость, подтвержденная производителем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оборудования и медицинских изделий: Моюще-дезинфицирующая машина ^8^-201».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Заявитель указывает, что установление спорного требования ограничивает возможность поставки совместимых с оборудованием дезинфицирующих средств, не подтвержденных производителем оборудования «Моюще-дезинфицирующая машина ^8^-201».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в обоснование своей позиции Заявитель ссылается на п. 10 и п. 11 Постановления Правительства РФ от 1 апреля 2022 г. № 552 «Об утверждении особенностей обращения, включая особенности государственной регистрации,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характера», в которых прямо указано на недопустимость ограничения взаимозаменяемости, а в п.11 Постановления указано, что медицинское изделие может использоваться с расходными материалами другого производителя, если производитель (расходного материала) подтвердил возможность совместного применения в процессе государственной регистрации: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 10: «При обращении медицинских изделий, как включенных, так и не включенных в перечень медицинских изделий, не допускается ограничение взаимозаменяемости медицинских изделий путем использования специальных технических или программных средств или другими способами».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9" w:right="539" w:bottom="915" w:left="1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 11: «Возможно применение медицинского изделия, производителем (изготовителем) которого в эксплуатационной документации установлен ограниченный перечень расходных материалов, с расходным материалом иного производителя (изготовителя), зарегистрированным в качестве медицинского изделия, если производитель (изготовитель) подтвердил в процессе его государственной регистрации возможность совместного применения с данным медицинским изделием. При этом совместное применение медицинского изделия с расходным материалом осуществляется с учетом особенностей, установленных в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эксплуатационной документации производителя (изготовителя) на расходный материал».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описании объекта закупки Заказчиком установлены следующие требования в закупаемым изделиям, в частности: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-Средство дезинфицирующее, Идентификатор: 160867102; 160867104; 160867105: Совместимость, подтвержденная производителем оборудования и медицинских изделий Моюще-дезинфицирующая машина ^8^-201;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ч.1 ст.106 Закона о контрактной системе лица, права и законные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2024-44929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при формировании характеристик Заказчик руководствовался п.84 санитарных правил и норм СанПиН 3.3686-21 «Санитарно-эпидемиологические требования по профилактике инфекционных болезней» к использованию допускаются дезинфекционные средства, на которые имеются разрешительные документы, выданные в порядке и в случаях, установленных правом Евразийского экономического союза.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Оборудование (Моющедезинфицирующие машины (МДМ)), установленное у Заказчика, является дорогостоящим и высокотехнологичным, при этом использование дезинфицирующих средств, несовместимых с МДМ может привести к выходу из строя данного оборудования.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также представлено письмо от ООО «Лизоформ СПБ», согласно которому указан перечень провалидированных средств.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производитель заявляет об исчерпывающим перечне средств, которые возможно применять на имеющемся оборудовании.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применение невалидированных средств автоматически приведет к аннулированию гарантийного обслуживания дорогостоящего оборудования.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Возможность эксплуатации медицинского оборудования одного производителя совместно с товарами другого производителя определяется производителем медицинского оборудования; совместное применение таких товаров без проведенных экспертиз на совместность может привести к причинению вреда жизни, здоровью граждан и медицинских работников.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указанных положений в описании объекта закупки было установлено требование о совместимости, подтвержденной производителем оборудования.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предметом закупки являются дезинфицирующие средства, не являющиеся медицинскими изделиями.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 мнению Заказчика доводы жалобы являются несостоятельными.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вопреки пояснениям представителя Заказчика, к поставке требуются медицинские изделия, что следует из п.6 требования к содержанию, составу заявки на участие в электронном аукционе: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«6.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2024-44929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передаются вместе с товаром. Копии регистрационных удостоверений Министерства здравоохранения Российской Федерации на товар, включая перечень принадлежностей к нему».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Техническим заданием также определено: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«1.2 Код и наименование позиции Классификатора предметов государственного заказа: 01.02.10.55.01 - товары/товары медицинские/медицинские расходные материалы/средства дезинфекционные/ средство дезинфицирующее для медицинских учреждений;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2.1 Поставщик обязан осуществить поставку дезинфицирующих средств медицинского назначения (далее - товар) в порядке и на условиях, предусмотренных Контрактом и настоящим Техническим заданием, а также в соответствии с требованиями актов, указанных в разделе 6 настоящего Технического задания;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5.2 Маркировка стерильных и нестерильных медицинских изделий должна обеспечивать возможность разграничения идентичных или схожих видов медицинских изделий;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6.1 «Соглашение о единых принципах и правилах обращения медицинских изделий (изделий медицинского назначения и медицинской техники) в рамках Евразийского экономического союза».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6.2 Решение Совета Евразийской экономической комиссии от 12.02.2016 К 27 «Об утверждении Общих требований безопасности и эффективности медицинских изделий, требований к их маркировке и эксплуатационной документации на них».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6.8 Приказ Минздрава России от 19.01.2017 К 11н «Об утверждении требований к содержанию технической и эксплуатационной документации производителя (изготовителя) медицинского изделия».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при описании объекта закупки Заказчиком установлены требования в закупаемым изделиям, например: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2687" w:val="left"/>
          <w:tab w:pos="873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«Средство</w:t>
        <w:tab/>
        <w:t>дезинфицирующее, Идентификатор:</w:t>
        <w:tab/>
        <w:t>160867105»: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5693" w:val="left"/>
          <w:tab w:pos="843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Совместимость, подтвержденная</w:t>
        <w:tab/>
        <w:t>производителем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оборудования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медицинских изделий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», что также указывает на закупку медицинских изделий, вопреки утверждению представителя Заказчика об обратном.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согласно п. 10 постановления № 552 при обращении медицинских изделий, как включенных, так и не включенных в перечень медицинских изделий, не допускается ограничение взаимозаменяемости медицинских изделий путем использования специальных технических или программных средств или другими способами.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62" w:right="544" w:bottom="682" w:left="1104" w:header="0" w:footer="254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Также согласно п. 11 постановления № 552 возможно применение медицинского изделия, производителем (изготовителем) которого в эксплуатационной документации установлен ограниченный перечень расходных материалов, с расходным материалом иного производителя (изготовителя), зарегистрированным в качестве медицинского изделия, если производитель (изготовитель) подтвердил в процессе его государственной регистрации возможность совместного применения с данным медицинским изделием. При этом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2024-44929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совместное применение медицинского изделия с расходным материалом осуществляется с учетом особенностей, установленных в эксплуатационной документации производителя (изготовителя) на расходный материал.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в соответствии с частью 4 статьи 38 Федерального закона от 21.11.2011 № 323-ФЗ «Об основах охраны здоровья граждан в Российской Федерации» (далее - Закон № 323-ФЗ)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власти, и медицинских изделий, зарегистрированных в Российской Федерации в соответствии с международными договорами и актами, составляющими право Евразийского экономического союза.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3 статьи 38 Закона № 323-ФЗ производитель (изготовитель) медицинского изделия разрабатывает техническую и (или) эксплуатационную документацию, в соответствии с которой осуществляются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требование о подтверждении совместимости предлагаемых к поставке товаров исключительно производителем оборудования, находящегося в эксплуатации у Заказчика, носит излишний характер, поскольку такая совместимость может мыть подтверждена и иными производителями расходных материалов, зарегистрированных на сайте Росздравнадзора.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обязанность проводить экспертизу на совместимость разных медицинских изделий или запрашивать одними производителями медицинского изделия у других производителей медицинских изделий разрешение на совместное использование уже зарегистрированных в установленном порядке медицинских изделий, применимыми правовыми нормами не установлена.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 признании данного довода жалобы обоснованным и о нарушении Заказчиком п.1 ч.1 ст.33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ИП Засецкий С. А. на действия ГБУЗ «ГКБ № 31 им. академика Г.М. Савельевой ДЗМ» обоснованной.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нарушения п.1 ч.1 ст.33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149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356235" distL="0" distR="0" simplePos="0" relativeHeight="12582938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139700</wp:posOffset>
                </wp:positionV>
                <wp:extent cx="189611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950000000000003pt;margin-top:11.pt;width:149.30000000000001pt;height:19.699999999999999pt;z-index:-125829371;mso-wrap-distance-left:0;mso-wrap-distance-top:1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6530" distB="0" distL="0" distR="1789430" simplePos="0" relativeHeight="125829384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176530</wp:posOffset>
            </wp:positionV>
            <wp:extent cx="389890" cy="57277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612140</wp:posOffset>
                </wp:positionV>
                <wp:extent cx="1280160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1.15000000000003pt;margin-top:48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301625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55000000000001pt;margin-top:23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356235" distL="0" distR="0" simplePos="0" relativeHeight="125829385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139700</wp:posOffset>
                </wp:positionV>
                <wp:extent cx="1029970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87.05000000000001pt;margin-top:11.pt;width:81.100000000000009pt;height:19.699999999999999pt;z-index:-125829368;mso-wrap-distance-left:0;mso-wrap-distance-top:1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A2A2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A2A2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000590946031СЕ073ВЕ5С506ЕЕ7501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A2A2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05.06.2025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39624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55000000000001pt;margin-top:12.2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A2A2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008АВСВВ24Э1</w:t>
      </w:r>
      <w:r>
        <w:rPr>
          <w:color w:val="2A2A2A"/>
          <w:spacing w:val="0"/>
          <w:w w:val="100"/>
          <w:position w:val="0"/>
          <w:shd w:val="clear" w:color="auto" w:fill="auto"/>
          <w:lang w:val="ru-RU" w:eastAsia="ru-RU" w:bidi="ru-RU"/>
        </w:rPr>
        <w:t>В04705С4В0130528702ЕАЕ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04.10.2025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50800</wp:posOffset>
            </wp:positionV>
            <wp:extent cx="353695" cy="40259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142240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55000000000001pt;margin-top:11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A2A2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00ЕЗВ7121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8Р970424В4Э41С7997434Е304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2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A2A2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19.09.2024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E7E7E"/>
          <w:spacing w:val="0"/>
          <w:w w:val="100"/>
          <w:position w:val="0"/>
          <w:shd w:val="clear" w:color="auto" w:fill="auto"/>
          <w:lang w:val="ru-RU" w:eastAsia="ru-RU" w:bidi="ru-RU"/>
        </w:rPr>
        <w:t>13.12.2025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Исп.Гугава Э.З.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тел.495-784-75-05 вн.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10151745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2024-44929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00000000000003pt;margin-top:799.35000000000002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2024-44929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2024-44929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2024-44929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10151745</wp:posOffset>
              </wp:positionV>
              <wp:extent cx="72263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2024-44929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200000000000003pt;margin-top:799.35000000000002pt;width:56.89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2024-44929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309.19999999999999pt;margin-top:37.5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25pt;margin-top:37.5pt;width:4.5499999999999998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19999999999999pt;margin-top:37.5pt;width:5.0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6">
    <w:name w:val="Основной текст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8">
    <w:name w:val="Колонтитул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A2A2A"/>
      <w:sz w:val="12"/>
      <w:szCs w:val="12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2"/>
      <w:szCs w:val="12"/>
      <w:u w:val="none"/>
    </w:rPr>
  </w:style>
  <w:style w:type="character" w:customStyle="1" w:styleId="CharStyle28">
    <w:name w:val="Основной текст (4)_"/>
    <w:basedOn w:val="DefaultParagraphFont"/>
    <w:link w:val="Style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character" w:customStyle="1" w:styleId="CharStyle32">
    <w:name w:val="Основной текст (5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7">
    <w:name w:val="Колонтитул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34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A2A2A"/>
      <w:sz w:val="12"/>
      <w:szCs w:val="12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2"/>
      <w:szCs w:val="12"/>
      <w:u w:val="none"/>
    </w:rPr>
  </w:style>
  <w:style w:type="paragraph" w:customStyle="1" w:styleId="Style27">
    <w:name w:val="Основной текст (4)"/>
    <w:basedOn w:val="Normal"/>
    <w:link w:val="CharStyle28"/>
    <w:pPr>
      <w:widowControl w:val="0"/>
      <w:shd w:val="clear" w:color="auto" w:fill="auto"/>
      <w:spacing w:after="80"/>
      <w:ind w:left="45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paragraph" w:customStyle="1" w:styleId="Style31">
    <w:name w:val="Основной текст (5)"/>
    <w:basedOn w:val="Normal"/>
    <w:link w:val="CharStyle32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image" Target="media/image1.jpeg"/><Relationship Id="rId14" Type="http://schemas.openxmlformats.org/officeDocument/2006/relationships/image" Target="media/image1.jpeg" TargetMode="External"/><Relationship Id="rId15" Type="http://schemas.openxmlformats.org/officeDocument/2006/relationships/image" Target="media/image2.jpeg"/><Relationship Id="rId16" Type="http://schemas.openxmlformats.org/officeDocument/2006/relationships/image" Target="media/image2.jpeg" TargetMode="Externa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/Relationships>
</file>