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5"/>
        <w:keepNext w:val="0"/>
        <w:keepLines w:val="0"/>
        <w:widowControl w:val="0"/>
        <w:shd w:val="clear" w:color="auto" w:fill="auto"/>
        <w:bidi w:val="0"/>
        <w:spacing w:before="0" w:after="160" w:line="240" w:lineRule="auto"/>
        <w:ind w:left="0" w:right="0" w:firstLine="640"/>
        <w:jc w:val="both"/>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Хакасия</w:t>
      </w:r>
    </w:p>
    <w:p>
      <w:pPr>
        <w:pStyle w:val="Style5"/>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ул. Вяткина, 3, г. Абакан, 655017</w:t>
        <w:br/>
        <w:t>тел. (3902) 22-27-59, факс (3902) 22-62-55</w:t>
        <w:br/>
        <w:t>е-таП: 1о19@Га8.§оу.ги</w:t>
      </w:r>
    </w:p>
    <w:p>
      <w:pPr>
        <w:pStyle w:val="Style10"/>
        <w:keepNext/>
        <w:keepLines/>
        <w:widowControl w:val="0"/>
        <w:shd w:val="clear" w:color="auto" w:fill="auto"/>
        <w:tabs>
          <w:tab w:pos="1843"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26.09.2024</w:t>
      </w:r>
      <w:r>
        <w:rPr>
          <w:color w:val="000000"/>
          <w:spacing w:val="0"/>
          <w:w w:val="100"/>
          <w:position w:val="0"/>
          <w:u w:val="none"/>
          <w:shd w:val="clear" w:color="auto" w:fill="auto"/>
          <w:lang w:val="ru-RU" w:eastAsia="ru-RU" w:bidi="ru-RU"/>
        </w:rPr>
        <w:tab/>
        <w:t xml:space="preserve">№ </w:t>
      </w:r>
      <w:r>
        <w:rPr>
          <w:color w:val="000000"/>
          <w:spacing w:val="0"/>
          <w:w w:val="100"/>
          <w:position w:val="0"/>
          <w:shd w:val="clear" w:color="auto" w:fill="auto"/>
          <w:lang w:val="ru-RU" w:eastAsia="ru-RU" w:bidi="ru-RU"/>
        </w:rPr>
        <w:t>ОШ/8479/2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660" w:line="240" w:lineRule="auto"/>
        <w:ind w:left="0" w:right="260" w:firstLine="0"/>
        <w:jc w:val="right"/>
      </w:pPr>
      <w:r>
        <w:rPr>
          <w:b w:val="0"/>
          <w:bCs w:val="0"/>
          <w:spacing w:val="0"/>
          <w:w w:val="100"/>
          <w:position w:val="0"/>
          <w:shd w:val="clear" w:color="auto" w:fill="auto"/>
          <w:lang w:val="ru-RU" w:eastAsia="ru-RU" w:bidi="ru-RU"/>
        </w:rPr>
        <w:t xml:space="preserve">На №  от</w:t>
      </w:r>
    </w:p>
    <w:p>
      <w:pPr>
        <w:pStyle w:val="Style14"/>
        <w:keepNext w:val="0"/>
        <w:keepLines w:val="0"/>
        <w:widowControl w:val="0"/>
        <w:shd w:val="clear" w:color="auto" w:fill="auto"/>
        <w:bidi w:val="0"/>
        <w:spacing w:before="0" w:after="0" w:line="262"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Решение по результатам рассмотрения жалобы №019/06/106- 1331/2024 (ООО "Техномодуль")</w:t>
      </w:r>
    </w:p>
    <w:p>
      <w:pPr>
        <w:pStyle w:val="Style14"/>
        <w:keepNext w:val="0"/>
        <w:keepLines w:val="0"/>
        <w:widowControl w:val="0"/>
        <w:shd w:val="clear" w:color="auto" w:fill="auto"/>
        <w:bidi w:val="0"/>
        <w:spacing w:before="0" w:after="0" w:line="264"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Заявителю -</w:t>
      </w:r>
    </w:p>
    <w:p>
      <w:pPr>
        <w:pStyle w:val="Style14"/>
        <w:keepNext w:val="0"/>
        <w:keepLines w:val="0"/>
        <w:widowControl w:val="0"/>
        <w:shd w:val="clear" w:color="auto" w:fill="auto"/>
        <w:bidi w:val="0"/>
        <w:spacing w:before="0" w:after="540" w:line="264"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Обществу с ограниченной ответственностью «Техномодуль»</w:t>
      </w:r>
    </w:p>
    <w:p>
      <w:pPr>
        <w:pStyle w:val="Style14"/>
        <w:keepNext w:val="0"/>
        <w:keepLines w:val="0"/>
        <w:widowControl w:val="0"/>
        <w:shd w:val="clear" w:color="auto" w:fill="auto"/>
        <w:bidi w:val="0"/>
        <w:spacing w:before="0" w:after="0" w:line="259"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Субъектам контроля:</w:t>
      </w:r>
    </w:p>
    <w:p>
      <w:pPr>
        <w:pStyle w:val="Style14"/>
        <w:keepNext w:val="0"/>
        <w:keepLines w:val="0"/>
        <w:widowControl w:val="0"/>
        <w:shd w:val="clear" w:color="auto" w:fill="auto"/>
        <w:bidi w:val="0"/>
        <w:spacing w:before="0" w:after="0" w:line="259"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Уполномоченному органу -</w:t>
      </w:r>
    </w:p>
    <w:p>
      <w:pPr>
        <w:pStyle w:val="Style14"/>
        <w:keepNext w:val="0"/>
        <w:keepLines w:val="0"/>
        <w:widowControl w:val="0"/>
        <w:shd w:val="clear" w:color="auto" w:fill="auto"/>
        <w:bidi w:val="0"/>
        <w:spacing w:before="0" w:after="540" w:line="259"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Государственному комитету по регулированию контрактной системы в сфере закупок Республики Хакасия и его комиссии</w:t>
      </w:r>
    </w:p>
    <w:p>
      <w:pPr>
        <w:pStyle w:val="Style14"/>
        <w:keepNext w:val="0"/>
        <w:keepLines w:val="0"/>
        <w:widowControl w:val="0"/>
        <w:shd w:val="clear" w:color="auto" w:fill="auto"/>
        <w:bidi w:val="0"/>
        <w:spacing w:before="0" w:after="0" w:line="262"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Государственному заказчику -</w:t>
      </w:r>
    </w:p>
    <w:p>
      <w:pPr>
        <w:pStyle w:val="Style14"/>
        <w:keepNext w:val="0"/>
        <w:keepLines w:val="0"/>
        <w:widowControl w:val="0"/>
        <w:shd w:val="clear" w:color="auto" w:fill="auto"/>
        <w:bidi w:val="0"/>
        <w:spacing w:before="0" w:after="540" w:line="262" w:lineRule="auto"/>
        <w:ind w:left="0" w:right="0" w:firstLine="0"/>
        <w:jc w:val="left"/>
        <w:rPr>
          <w:sz w:val="22"/>
          <w:szCs w:val="22"/>
        </w:rPr>
      </w:pPr>
      <w:r>
        <w:rPr>
          <w:i w:val="0"/>
          <w:iCs w:val="0"/>
          <w:color w:val="000000"/>
          <w:spacing w:val="0"/>
          <w:w w:val="100"/>
          <w:position w:val="0"/>
          <w:sz w:val="22"/>
          <w:szCs w:val="22"/>
          <w:shd w:val="clear" w:color="auto" w:fill="auto"/>
          <w:lang w:val="ru-RU" w:eastAsia="ru-RU" w:bidi="ru-RU"/>
        </w:rPr>
        <w:t>Государственному бюджетному учреждению здравоохранения Республики Хакасия «Боградская районная больница»</w:t>
      </w:r>
    </w:p>
    <w:p>
      <w:pPr>
        <w:pStyle w:val="Style14"/>
        <w:keepNext w:val="0"/>
        <w:keepLines w:val="0"/>
        <w:widowControl w:val="0"/>
        <w:shd w:val="clear" w:color="auto" w:fill="auto"/>
        <w:bidi w:val="0"/>
        <w:spacing w:before="0" w:after="0" w:line="264" w:lineRule="auto"/>
        <w:ind w:left="0" w:right="0" w:firstLine="0"/>
        <w:jc w:val="left"/>
        <w:rPr>
          <w:sz w:val="22"/>
          <w:szCs w:val="22"/>
        </w:rPr>
        <w:sectPr>
          <w:footerReference w:type="default" r:id="rId7"/>
          <w:footerReference w:type="even" r:id="rId8"/>
          <w:footnotePr>
            <w:pos w:val="pageBottom"/>
            <w:numFmt w:val="decimal"/>
            <w:numRestart w:val="continuous"/>
          </w:footnotePr>
          <w:pgSz w:w="11900" w:h="16840"/>
          <w:pgMar w:top="284" w:right="632" w:bottom="1217" w:left="1140" w:header="0" w:footer="3" w:gutter="0"/>
          <w:pgNumType w:start="1"/>
          <w:cols w:num="2" w:space="720" w:equalWidth="0">
            <w:col w:w="4310" w:space="955"/>
            <w:col w:w="4862"/>
          </w:cols>
          <w:noEndnote/>
          <w:rtlGutter w:val="0"/>
          <w:docGrid w:linePitch="360"/>
        </w:sectPr>
      </w:pPr>
      <w:r>
        <w:rPr>
          <w:i w:val="0"/>
          <w:iCs w:val="0"/>
          <w:color w:val="000000"/>
          <w:spacing w:val="0"/>
          <w:w w:val="100"/>
          <w:position w:val="0"/>
          <w:sz w:val="22"/>
          <w:szCs w:val="22"/>
          <w:shd w:val="clear" w:color="auto" w:fill="auto"/>
          <w:lang w:val="ru-RU" w:eastAsia="ru-RU" w:bidi="ru-RU"/>
        </w:rPr>
        <w:t>Оператору электронной площадки -ООО «РТС-тендер»</w:t>
      </w:r>
    </w:p>
    <w:p>
      <w:pPr>
        <w:widowControl w:val="0"/>
        <w:spacing w:before="82" w:after="82"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5440" w:right="0" w:firstLine="0"/>
        <w:jc w:val="left"/>
        <w:rPr>
          <w:sz w:val="22"/>
          <w:szCs w:val="22"/>
        </w:rPr>
      </w:pPr>
      <w:r>
        <w:rPr>
          <w:i w:val="0"/>
          <w:iCs w:val="0"/>
          <w:color w:val="000000"/>
          <w:spacing w:val="0"/>
          <w:w w:val="100"/>
          <w:position w:val="0"/>
          <w:sz w:val="22"/>
          <w:szCs w:val="22"/>
          <w:shd w:val="clear" w:color="auto" w:fill="auto"/>
          <w:lang w:val="ru-RU" w:eastAsia="ru-RU" w:bidi="ru-RU"/>
        </w:rPr>
        <w:t>Заинтересованному лицу -</w:t>
      </w:r>
    </w:p>
    <w:p>
      <w:pPr>
        <w:pStyle w:val="Style14"/>
        <w:keepNext w:val="0"/>
        <w:keepLines w:val="0"/>
        <w:widowControl w:val="0"/>
        <w:shd w:val="clear" w:color="auto" w:fill="auto"/>
        <w:bidi w:val="0"/>
        <w:spacing w:before="0" w:after="1120" w:line="240" w:lineRule="auto"/>
        <w:ind w:left="5440" w:right="0" w:firstLine="0"/>
        <w:jc w:val="left"/>
        <w:rPr>
          <w:sz w:val="22"/>
          <w:szCs w:val="22"/>
        </w:rPr>
      </w:pPr>
      <w:r>
        <w:rPr>
          <w:i w:val="0"/>
          <w:iCs w:val="0"/>
          <w:color w:val="000000"/>
          <w:spacing w:val="0"/>
          <w:w w:val="100"/>
          <w:position w:val="0"/>
          <w:sz w:val="22"/>
          <w:szCs w:val="22"/>
          <w:shd w:val="clear" w:color="auto" w:fill="auto"/>
          <w:lang w:val="ru-RU" w:eastAsia="ru-RU" w:bidi="ru-RU"/>
        </w:rPr>
        <w:t>Индивидуальному предпринимателю</w:t>
      </w:r>
    </w:p>
    <w:p>
      <w:pPr>
        <w:pStyle w:val="Style14"/>
        <w:keepNext w:val="0"/>
        <w:keepLines w:val="0"/>
        <w:widowControl w:val="0"/>
        <w:shd w:val="clear" w:color="auto" w:fill="auto"/>
        <w:bidi w:val="0"/>
        <w:spacing w:before="0" w:after="320" w:line="240" w:lineRule="auto"/>
        <w:ind w:left="5440" w:right="0" w:firstLine="0"/>
        <w:jc w:val="left"/>
        <w:rPr>
          <w:sz w:val="22"/>
          <w:szCs w:val="22"/>
        </w:rPr>
      </w:pPr>
      <w:r>
        <w:rPr>
          <w:i w:val="0"/>
          <w:iCs w:val="0"/>
          <w:color w:val="000000"/>
          <w:spacing w:val="0"/>
          <w:w w:val="100"/>
          <w:position w:val="0"/>
          <w:sz w:val="22"/>
          <w:szCs w:val="22"/>
          <w:shd w:val="clear" w:color="auto" w:fill="auto"/>
          <w:lang w:val="ru-RU" w:eastAsia="ru-RU" w:bidi="ru-RU"/>
        </w:rPr>
        <w:t>Извещение №0380200000124005449</w:t>
      </w:r>
    </w:p>
    <w:p>
      <w:pPr>
        <w:pStyle w:val="Style17"/>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РЕШЕНИЕ</w:t>
        <w:br/>
        <w:t>по жалобе № 019/06/106-1331/2024</w:t>
      </w:r>
    </w:p>
    <w:p>
      <w:pPr>
        <w:pStyle w:val="Style17"/>
        <w:keepNext w:val="0"/>
        <w:keepLines w:val="0"/>
        <w:widowControl w:val="0"/>
        <w:shd w:val="clear" w:color="auto" w:fill="auto"/>
        <w:bidi w:val="0"/>
        <w:spacing w:before="0" w:after="320" w:line="240" w:lineRule="auto"/>
        <w:ind w:left="0" w:right="0" w:firstLine="700"/>
        <w:jc w:val="both"/>
      </w:pPr>
      <w:r>
        <mc:AlternateContent>
          <mc:Choice Requires="wps">
            <w:drawing>
              <wp:anchor distT="0" distB="0" distL="114300" distR="114300" simplePos="0" relativeHeight="125829378" behindDoc="0" locked="0" layoutInCell="1" allowOverlap="1">
                <wp:simplePos x="0" y="0"/>
                <wp:positionH relativeFrom="page">
                  <wp:posOffset>6371590</wp:posOffset>
                </wp:positionH>
                <wp:positionV relativeFrom="paragraph">
                  <wp:posOffset>12700</wp:posOffset>
                </wp:positionV>
                <wp:extent cx="722630" cy="216535"/>
                <wp:wrapSquare wrapText="left"/>
                <wp:docPr id="6" name="Shape 6"/>
                <a:graphic xmlns:a="http://schemas.openxmlformats.org/drawingml/2006/main">
                  <a:graphicData uri="http://schemas.microsoft.com/office/word/2010/wordprocessingShape">
                    <wps:wsp>
                      <wps:cNvSpPr txBox="1"/>
                      <wps:spPr>
                        <a:xfrm>
                          <a:ext cx="722630" cy="21653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wps:txbx>
                      <wps:bodyPr wrap="none" lIns="0" tIns="0" rIns="0" bIns="0">
                        <a:noAutoFit/>
                      </wps:bodyPr>
                    </wps:wsp>
                  </a:graphicData>
                </a:graphic>
              </wp:anchor>
            </w:drawing>
          </mc:Choice>
          <mc:Fallback>
            <w:pict>
              <v:shape id="_x0000_s1032" type="#_x0000_t202" style="position:absolute;margin-left:501.69999999999999pt;margin-top:1.pt;width:56.899999999999999pt;height:17.050000000000001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Абакан</w:t>
                      </w:r>
                    </w:p>
                  </w:txbxContent>
                </v:textbox>
                <w10:wrap type="square" side="left" anchorx="page"/>
              </v:shape>
            </w:pict>
          </mc:Fallback>
        </mc:AlternateContent>
      </w:r>
      <w:r>
        <w:rPr>
          <w:color w:val="000000"/>
          <w:spacing w:val="0"/>
          <w:w w:val="100"/>
          <w:position w:val="0"/>
          <w:shd w:val="clear" w:color="auto" w:fill="auto"/>
          <w:lang w:val="ru-RU" w:eastAsia="ru-RU" w:bidi="ru-RU"/>
        </w:rPr>
        <w:t>«23» сентября 2024 года</w:t>
      </w:r>
    </w:p>
    <w:p>
      <w:pPr>
        <w:pStyle w:val="Style17"/>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Хакасия по контролю закупок (далее - Комиссия) в составе:</w:t>
      </w:r>
    </w:p>
    <w:p>
      <w:pPr>
        <w:pStyle w:val="Style17"/>
        <w:keepNext w:val="0"/>
        <w:keepLines w:val="0"/>
        <w:widowControl w:val="0"/>
        <w:shd w:val="clear" w:color="auto" w:fill="auto"/>
        <w:bidi w:val="0"/>
        <w:spacing w:before="0" w:after="100" w:line="240" w:lineRule="auto"/>
        <w:ind w:left="0" w:right="0" w:firstLine="0"/>
        <w:jc w:val="left"/>
      </w:pPr>
      <w:r>
        <w:rPr>
          <w:color w:val="000000"/>
          <w:spacing w:val="0"/>
          <w:w w:val="100"/>
          <w:position w:val="0"/>
          <w:shd w:val="clear" w:color="auto" w:fill="auto"/>
          <w:lang w:val="ru-RU" w:eastAsia="ru-RU" w:bidi="ru-RU"/>
        </w:rPr>
        <w:t>Председателя комиссии -</w:t>
      </w:r>
    </w:p>
    <w:p>
      <w:pPr>
        <w:pStyle w:val="Style17"/>
        <w:keepNext w:val="0"/>
        <w:keepLines w:val="0"/>
        <w:widowControl w:val="0"/>
        <w:shd w:val="clear" w:color="auto" w:fill="auto"/>
        <w:bidi w:val="0"/>
        <w:spacing w:before="0" w:after="1600" w:line="240" w:lineRule="auto"/>
        <w:ind w:left="0" w:right="0" w:firstLine="0"/>
        <w:jc w:val="left"/>
      </w:pPr>
      <w:r>
        <w:rPr>
          <w:color w:val="000000"/>
          <w:spacing w:val="0"/>
          <w:w w:val="100"/>
          <w:position w:val="0"/>
          <w:shd w:val="clear" w:color="auto" w:fill="auto"/>
          <w:lang w:val="ru-RU" w:eastAsia="ru-RU" w:bidi="ru-RU"/>
        </w:rPr>
        <w:t>Членов комиссии:</w:t>
      </w:r>
    </w:p>
    <w:p>
      <w:pPr>
        <w:pStyle w:val="Style17"/>
        <w:keepNext w:val="0"/>
        <w:keepLines w:val="0"/>
        <w:widowControl w:val="0"/>
        <w:shd w:val="clear" w:color="auto" w:fill="auto"/>
        <w:bidi w:val="0"/>
        <w:spacing w:before="0" w:after="380" w:line="240" w:lineRule="auto"/>
        <w:ind w:left="0" w:right="0" w:firstLine="700"/>
        <w:jc w:val="left"/>
      </w:pPr>
      <w:r>
        <w:rPr>
          <w:i/>
          <w:iCs/>
          <w:color w:val="000000"/>
          <w:spacing w:val="0"/>
          <w:w w:val="100"/>
          <w:position w:val="0"/>
          <w:shd w:val="clear" w:color="auto" w:fill="auto"/>
          <w:lang w:val="ru-RU" w:eastAsia="ru-RU" w:bidi="ru-RU"/>
        </w:rPr>
        <w:t>в присутствии представителей:</w:t>
      </w:r>
    </w:p>
    <w:p>
      <w:pPr>
        <w:pStyle w:val="Style21"/>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36" w:bottom="1217" w:left="962" w:header="0" w:footer="3" w:gutter="0"/>
          <w:cols w:space="720"/>
          <w:noEndnote/>
          <w:rtlGutter w:val="0"/>
          <w:docGrid w:linePitch="360"/>
        </w:sectPr>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0" w:line="240" w:lineRule="auto"/>
        <w:ind w:left="0" w:right="0" w:firstLine="560"/>
        <w:jc w:val="both"/>
      </w:pPr>
      <w:r>
        <w:rPr>
          <w:i/>
          <w:iCs/>
          <w:color w:val="000000"/>
          <w:spacing w:val="0"/>
          <w:w w:val="100"/>
          <w:position w:val="0"/>
          <w:shd w:val="clear" w:color="auto" w:fill="auto"/>
          <w:lang w:val="ru-RU" w:eastAsia="ru-RU" w:bidi="ru-RU"/>
        </w:rPr>
        <w:t>государственного заказчика -</w:t>
      </w:r>
      <w:r>
        <w:rPr>
          <w:color w:val="000000"/>
          <w:spacing w:val="0"/>
          <w:w w:val="100"/>
          <w:position w:val="0"/>
          <w:shd w:val="clear" w:color="auto" w:fill="auto"/>
          <w:lang w:val="ru-RU" w:eastAsia="ru-RU" w:bidi="ru-RU"/>
        </w:rPr>
        <w:t xml:space="preserve"> Государственного бюджетного учреждения здравоохранения Республики Хакасия «Боградская районная больница» (далее — ГБУЗ РХ «Боградская РБ», Заказчик):</w:t>
      </w:r>
    </w:p>
    <w:p>
      <w:pPr>
        <w:pStyle w:val="Style17"/>
        <w:keepNext w:val="0"/>
        <w:keepLines w:val="0"/>
        <w:widowControl w:val="0"/>
        <w:shd w:val="clear" w:color="auto" w:fill="auto"/>
        <w:bidi w:val="0"/>
        <w:spacing w:before="0" w:after="0" w:line="240" w:lineRule="auto"/>
        <w:ind w:left="3980" w:right="0" w:firstLine="680"/>
        <w:jc w:val="both"/>
      </w:pPr>
      <w:r>
        <w:rPr>
          <w:color w:val="000000"/>
          <w:spacing w:val="0"/>
          <w:w w:val="100"/>
          <w:position w:val="0"/>
          <w:shd w:val="clear" w:color="auto" w:fill="auto"/>
          <w:lang w:val="ru-RU" w:eastAsia="ru-RU" w:bidi="ru-RU"/>
        </w:rPr>
        <w:t>на основании Приказа №158-к от 31.12.2021, на основании доверенности №21 от 19.09.2024, , на основании доверенности №22 от 19.09.2024,</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уполномоченного органа - Государственного комитета по регулированию контрактной системы в сфере закупок Республики Хакасия (далее — Уполномоченный орган):</w:t>
      </w:r>
    </w:p>
    <w:p>
      <w:pPr>
        <w:pStyle w:val="Style17"/>
        <w:keepNext w:val="0"/>
        <w:keepLines w:val="0"/>
        <w:widowControl w:val="0"/>
        <w:shd w:val="clear" w:color="auto" w:fill="auto"/>
        <w:bidi w:val="0"/>
        <w:spacing w:before="0" w:after="0" w:line="240" w:lineRule="auto"/>
        <w:ind w:left="0" w:right="0" w:firstLine="5260"/>
        <w:jc w:val="both"/>
      </w:pPr>
      <w:r>
        <w:rPr>
          <w:color w:val="000000"/>
          <w:spacing w:val="0"/>
          <w:w w:val="100"/>
          <w:position w:val="0"/>
          <w:shd w:val="clear" w:color="auto" w:fill="auto"/>
          <w:lang w:val="ru-RU" w:eastAsia="ru-RU" w:bidi="ru-RU"/>
        </w:rPr>
        <w:t>, на основании доверенности №5 от 23.01.2024,</w:t>
      </w:r>
    </w:p>
    <w:p>
      <w:pPr>
        <w:pStyle w:val="Style17"/>
        <w:keepNext w:val="0"/>
        <w:keepLines w:val="0"/>
        <w:widowControl w:val="0"/>
        <w:shd w:val="clear" w:color="auto" w:fill="auto"/>
        <w:bidi w:val="0"/>
        <w:spacing w:before="0" w:after="0" w:line="240" w:lineRule="auto"/>
        <w:ind w:left="0" w:right="0" w:firstLine="560"/>
        <w:jc w:val="both"/>
      </w:pPr>
      <w:r>
        <w:rPr>
          <w:i/>
          <w:iCs/>
          <w:color w:val="000000"/>
          <w:spacing w:val="0"/>
          <w:w w:val="100"/>
          <w:position w:val="0"/>
          <w:shd w:val="clear" w:color="auto" w:fill="auto"/>
          <w:lang w:val="ru-RU" w:eastAsia="ru-RU" w:bidi="ru-RU"/>
        </w:rPr>
        <w:t>Заявителя -</w:t>
      </w:r>
      <w:r>
        <w:rPr>
          <w:color w:val="000000"/>
          <w:spacing w:val="0"/>
          <w:w w:val="100"/>
          <w:position w:val="0"/>
          <w:shd w:val="clear" w:color="auto" w:fill="auto"/>
          <w:lang w:val="ru-RU" w:eastAsia="ru-RU" w:bidi="ru-RU"/>
        </w:rPr>
        <w:t xml:space="preserve"> Общества с ограниченной ответственностью «Техномодуль» (далее - ООО «Техномодуль», Заявитель, Податель жалобы):</w:t>
      </w:r>
    </w:p>
    <w:p>
      <w:pPr>
        <w:pStyle w:val="Style17"/>
        <w:keepNext w:val="0"/>
        <w:keepLines w:val="0"/>
        <w:widowControl w:val="0"/>
        <w:shd w:val="clear" w:color="auto" w:fill="auto"/>
        <w:bidi w:val="0"/>
        <w:spacing w:before="0" w:after="0" w:line="240" w:lineRule="auto"/>
        <w:ind w:left="0" w:right="0" w:firstLine="4220"/>
        <w:jc w:val="both"/>
      </w:pPr>
      <w:r>
        <w:rPr>
          <w:color w:val="000000"/>
          <w:spacing w:val="0"/>
          <w:w w:val="100"/>
          <w:position w:val="0"/>
          <w:shd w:val="clear" w:color="auto" w:fill="auto"/>
          <w:lang w:val="ru-RU" w:eastAsia="ru-RU" w:bidi="ru-RU"/>
        </w:rPr>
        <w:t>:, на основании доверенности №б/н от 01.07.2024 (в отсутствии после объявленного перерыва),</w:t>
      </w:r>
    </w:p>
    <w:p>
      <w:pPr>
        <w:pStyle w:val="Style17"/>
        <w:keepNext w:val="0"/>
        <w:keepLines w:val="0"/>
        <w:widowControl w:val="0"/>
        <w:shd w:val="clear" w:color="auto" w:fill="auto"/>
        <w:bidi w:val="0"/>
        <w:spacing w:before="0" w:after="320" w:line="240" w:lineRule="auto"/>
        <w:ind w:left="0" w:right="0" w:firstLine="560"/>
        <w:jc w:val="both"/>
      </w:pPr>
      <w:r>
        <w:rPr>
          <w:color w:val="000000"/>
          <w:spacing w:val="0"/>
          <w:w w:val="100"/>
          <w:position w:val="0"/>
          <w:shd w:val="clear" w:color="auto" w:fill="auto"/>
          <w:lang w:val="ru-RU" w:eastAsia="ru-RU" w:bidi="ru-RU"/>
        </w:rPr>
        <w:t>рассмотрев жалобу ООО «Техномодуль» на действия субъектов контроля при проведении электронного аукциона на приобретение и монтаж быстровозводимой модульной конструкции объекта «Поликлиника на 170 посещений в смену, в том числе 40 посещений в смену детей ГБУЗ РХ «Боградская районная больница» общей площадью 2982 кв. м (извещение № 0380200000124005449) (далее - Аукцион), и в результате осуществления внеплановой проверки в соответствии с пунктом 1 части 15 статьи 99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7"/>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Хакасское УФАС России поступила жалоба Заявителя на действия Заказчика при проведении Аукциона.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мнению Заявителя, его права и законные интересы нарушены действиями Заказчика, не установившего в извещении о проведении закупки дополнительные требования к участникам закупки в соответствии с позицией 9 Приложения Постановления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которые не относятся к объекту закупки.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материалы дела Заказчиком представлены запрашиваемые документы (вх. № 9596-ЭП/24 от 19.09.2024).</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Для предоставления дополнительных документов в работе комиссии был объявлен перерыв до 23.09.2024 13:00.</w:t>
      </w:r>
    </w:p>
    <w:p>
      <w:pPr>
        <w:pStyle w:val="Style17"/>
        <w:keepNext w:val="0"/>
        <w:keepLines w:val="0"/>
        <w:widowControl w:val="0"/>
        <w:shd w:val="clear" w:color="auto" w:fill="auto"/>
        <w:bidi w:val="0"/>
        <w:spacing w:before="0" w:after="320" w:line="310" w:lineRule="auto"/>
        <w:ind w:left="0" w:right="0" w:firstLine="560"/>
        <w:jc w:val="both"/>
        <w:rPr>
          <w:sz w:val="22"/>
          <w:szCs w:val="22"/>
        </w:rPr>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700" w:right="522" w:bottom="769"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После объявленного перерыва от Заказчика поступили дополнительные пояснения (вх. №9745-ЭП/24 от 23.09.2024), в свою очередь, Заявитель в материалы </w:t>
      </w:r>
      <w:r>
        <w:rPr>
          <w:color w:val="000000"/>
          <w:spacing w:val="0"/>
          <w:w w:val="100"/>
          <w:position w:val="0"/>
          <w:sz w:val="22"/>
          <w:szCs w:val="22"/>
          <w:shd w:val="clear" w:color="auto" w:fill="auto"/>
          <w:lang w:val="ru-RU" w:eastAsia="ru-RU" w:bidi="ru-RU"/>
        </w:rPr>
        <w:t>2024-9021</w:t>
      </w:r>
    </w:p>
    <w:p>
      <w:pPr>
        <w:pStyle w:val="Style17"/>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дела не представил дополнительные пояснения в качестве обоснования своих доводов.</w:t>
      </w:r>
    </w:p>
    <w:p>
      <w:pPr>
        <w:pStyle w:val="Style17"/>
        <w:keepNext w:val="0"/>
        <w:keepLines w:val="0"/>
        <w:widowControl w:val="0"/>
        <w:shd w:val="clear" w:color="auto" w:fill="auto"/>
        <w:bidi w:val="0"/>
        <w:spacing w:before="0" w:after="0" w:line="240" w:lineRule="auto"/>
        <w:ind w:left="0" w:right="0" w:firstLine="560"/>
        <w:jc w:val="both"/>
      </w:pPr>
      <w:r>
        <w:rPr>
          <w:i/>
          <w:iCs/>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извещение об осуществлении закупки размещено в единой информационной системе (далее - ЕИС) - 30.08.2024;</w:t>
      </w:r>
    </w:p>
    <w:p>
      <w:pPr>
        <w:pStyle w:val="Style17"/>
        <w:keepNext w:val="0"/>
        <w:keepLines w:val="0"/>
        <w:widowControl w:val="0"/>
        <w:numPr>
          <w:ilvl w:val="0"/>
          <w:numId w:val="1"/>
        </w:numPr>
        <w:shd w:val="clear" w:color="auto" w:fill="auto"/>
        <w:tabs>
          <w:tab w:pos="143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начальная (максимальная) цена контракта - 390 000 000,00 рублей;</w:t>
      </w:r>
    </w:p>
    <w:p>
      <w:pPr>
        <w:pStyle w:val="Style17"/>
        <w:keepNext w:val="0"/>
        <w:keepLines w:val="0"/>
        <w:widowControl w:val="0"/>
        <w:numPr>
          <w:ilvl w:val="0"/>
          <w:numId w:val="1"/>
        </w:numPr>
        <w:shd w:val="clear" w:color="auto" w:fill="auto"/>
        <w:tabs>
          <w:tab w:pos="143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способ определения поставщика (подрядчика, исполнителя) - Аукцион;</w:t>
      </w:r>
    </w:p>
    <w:p>
      <w:pPr>
        <w:pStyle w:val="Style17"/>
        <w:keepNext w:val="0"/>
        <w:keepLines w:val="0"/>
        <w:widowControl w:val="0"/>
        <w:numPr>
          <w:ilvl w:val="0"/>
          <w:numId w:val="1"/>
        </w:numPr>
        <w:shd w:val="clear" w:color="auto" w:fill="auto"/>
        <w:tabs>
          <w:tab w:pos="143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и время окончания срока подачи заявок 17.09.2024 07:00;</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проведения процедуры подачи предложений о цене контракта либо о сумме цен единиц товара, работы, услуги 17.09.2024;</w:t>
      </w:r>
    </w:p>
    <w:p>
      <w:pPr>
        <w:pStyle w:val="Style17"/>
        <w:keepNext w:val="0"/>
        <w:keepLines w:val="0"/>
        <w:widowControl w:val="0"/>
        <w:numPr>
          <w:ilvl w:val="0"/>
          <w:numId w:val="1"/>
        </w:numPr>
        <w:shd w:val="clear" w:color="auto" w:fill="auto"/>
        <w:tabs>
          <w:tab w:pos="89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19.09.2024;</w:t>
      </w:r>
    </w:p>
    <w:p>
      <w:pPr>
        <w:pStyle w:val="Style17"/>
        <w:keepNext w:val="0"/>
        <w:keepLines w:val="0"/>
        <w:widowControl w:val="0"/>
        <w:numPr>
          <w:ilvl w:val="0"/>
          <w:numId w:val="1"/>
        </w:numPr>
        <w:shd w:val="clear" w:color="auto" w:fill="auto"/>
        <w:tabs>
          <w:tab w:pos="92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Протоколом подачи ценовых предложений от 17.09.2024 №ЦПА1 ценовые предложения подали 5 (пять) участников, лучшее ценовое предложение поступило от участника с идентификационным номером заявки 117291743 и составило 341 250 000,00 руб. (снижение 12,50% от НМЦК);</w:t>
      </w:r>
    </w:p>
    <w:p>
      <w:pPr>
        <w:pStyle w:val="Style17"/>
        <w:keepNext w:val="0"/>
        <w:keepLines w:val="0"/>
        <w:widowControl w:val="0"/>
        <w:numPr>
          <w:ilvl w:val="0"/>
          <w:numId w:val="1"/>
        </w:numPr>
        <w:shd w:val="clear" w:color="auto" w:fill="auto"/>
        <w:tabs>
          <w:tab w:pos="91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08.09.2024 №ИЭА1:</w:t>
      </w:r>
    </w:p>
    <w:p>
      <w:pPr>
        <w:pStyle w:val="Style17"/>
        <w:keepNext w:val="0"/>
        <w:keepLines w:val="0"/>
        <w:widowControl w:val="0"/>
        <w:numPr>
          <w:ilvl w:val="0"/>
          <w:numId w:val="3"/>
        </w:numPr>
        <w:shd w:val="clear" w:color="auto" w:fill="auto"/>
        <w:tabs>
          <w:tab w:pos="788"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заявка с идентификационным номером 117275537 отклонена на основании и. 3 ч. 12 ст. 48 в нарушение ч. 2.1 ст. 31 Закона о контрактной системы, и. 2 ч. 1 Требований к содержанию, составу заявки: в составе реестровой записи представлен контракт на строительство объекта «МБОУ «Степановская средняя общеобразовательная школа» не подтверждающий соответствие участника аукциона дополнительным требованиям в соответствии с пунктом 4 ПП РФ от 29.12.2021 №2571 (отсутствие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контрактов, договоров, стоимость исполненных обязательств по таким контрактам, договорам должна составлять не менее двадцати процентов начальной (максимальной) цены контракта (по представленному контракту начислена неустойка, в единой информационной системе (ЕИС) информация, подтверждающая оплату по требованию об уплате неустоек (штрафов, пеней) отсутствует, а также стоимость исполненных обязательств по представленному контракту составляет менее двадцати процентов начальной (максимальной) цены контракта),</w:t>
      </w:r>
    </w:p>
    <w:p>
      <w:pPr>
        <w:pStyle w:val="Style17"/>
        <w:keepNext w:val="0"/>
        <w:keepLines w:val="0"/>
        <w:widowControl w:val="0"/>
        <w:numPr>
          <w:ilvl w:val="0"/>
          <w:numId w:val="3"/>
        </w:numPr>
        <w:shd w:val="clear" w:color="auto" w:fill="auto"/>
        <w:tabs>
          <w:tab w:pos="1294" w:val="left"/>
        </w:tabs>
        <w:bidi w:val="0"/>
        <w:spacing w:before="0" w:after="160" w:line="240" w:lineRule="auto"/>
        <w:ind w:left="0" w:right="0" w:firstLine="560"/>
        <w:jc w:val="both"/>
        <w:sectPr>
          <w:footnotePr>
            <w:pos w:val="pageBottom"/>
            <w:numFmt w:val="decimal"/>
            <w:numRestart w:val="continuous"/>
          </w:footnotePr>
          <w:pgSz w:w="11900" w:h="16840"/>
          <w:pgMar w:top="1700" w:right="527" w:bottom="1302" w:left="1106" w:header="0" w:footer="3" w:gutter="0"/>
          <w:cols w:space="720"/>
          <w:noEndnote/>
          <w:rtlGutter w:val="0"/>
          <w:docGrid w:linePitch="360"/>
        </w:sectPr>
      </w:pPr>
      <w:r>
        <w:rPr>
          <w:color w:val="000000"/>
          <w:spacing w:val="0"/>
          <w:w w:val="100"/>
          <w:position w:val="0"/>
          <w:shd w:val="clear" w:color="auto" w:fill="auto"/>
          <w:lang w:val="ru-RU" w:eastAsia="ru-RU" w:bidi="ru-RU"/>
        </w:rPr>
        <w:t>заявки с идентификационными номерами 117291743, 117251346, 117251494,</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117290487 признаны соответствующими требованиям Извещения.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 результатам подведения итогов определения поставщика (подрядчика, исполнителя) победителем аукциона признается участник закупки идентификационный № 117291743, с ценовым предложением 341 250 000,00 руб.</w:t>
      </w:r>
    </w:p>
    <w:p>
      <w:pPr>
        <w:pStyle w:val="Style17"/>
        <w:keepNext w:val="0"/>
        <w:keepLines w:val="0"/>
        <w:widowControl w:val="0"/>
        <w:numPr>
          <w:ilvl w:val="0"/>
          <w:numId w:val="1"/>
        </w:numPr>
        <w:shd w:val="clear" w:color="auto" w:fill="auto"/>
        <w:tabs>
          <w:tab w:pos="1438" w:val="left"/>
        </w:tabs>
        <w:bidi w:val="0"/>
        <w:spacing w:before="0" w:after="320" w:line="240" w:lineRule="auto"/>
        <w:ind w:left="0" w:right="0" w:firstLine="56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2 статьи 31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7"/>
        <w:keepNext w:val="0"/>
        <w:keepLines w:val="0"/>
        <w:widowControl w:val="0"/>
        <w:numPr>
          <w:ilvl w:val="0"/>
          <w:numId w:val="5"/>
        </w:numPr>
        <w:shd w:val="clear" w:color="auto" w:fill="auto"/>
        <w:tabs>
          <w:tab w:pos="894" w:val="left"/>
        </w:tabs>
        <w:bidi w:val="0"/>
        <w:spacing w:before="0" w:after="0" w:line="240" w:lineRule="auto"/>
        <w:ind w:left="0" w:right="0" w:firstLine="560"/>
        <w:jc w:val="both"/>
      </w:pPr>
      <w:r>
        <w:rPr>
          <w:color w:val="000000"/>
          <w:spacing w:val="0"/>
          <w:w w:val="100"/>
          <w:position w:val="0"/>
          <w:shd w:val="clear" w:color="auto" w:fill="auto"/>
          <w:lang w:val="ru-RU" w:eastAsia="ru-RU" w:bidi="ru-RU"/>
        </w:rPr>
        <w:t>финансовых ресурсов для исполнения контракта;</w:t>
      </w:r>
    </w:p>
    <w:p>
      <w:pPr>
        <w:pStyle w:val="Style17"/>
        <w:keepNext w:val="0"/>
        <w:keepLines w:val="0"/>
        <w:widowControl w:val="0"/>
        <w:numPr>
          <w:ilvl w:val="0"/>
          <w:numId w:val="5"/>
        </w:numPr>
        <w:shd w:val="clear" w:color="auto" w:fill="auto"/>
        <w:tabs>
          <w:tab w:pos="922"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 праве собственности или ином законном основании оборудования и других материальных ресурсов для исполнения контракта;</w:t>
      </w:r>
    </w:p>
    <w:p>
      <w:pPr>
        <w:pStyle w:val="Style17"/>
        <w:keepNext w:val="0"/>
        <w:keepLines w:val="0"/>
        <w:widowControl w:val="0"/>
        <w:numPr>
          <w:ilvl w:val="0"/>
          <w:numId w:val="5"/>
        </w:numPr>
        <w:shd w:val="clear" w:color="auto" w:fill="auto"/>
        <w:tabs>
          <w:tab w:pos="911"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опыта работы, связанного с предметом контракта, и деловой репутации;</w:t>
      </w:r>
    </w:p>
    <w:p>
      <w:pPr>
        <w:pStyle w:val="Style17"/>
        <w:keepNext w:val="0"/>
        <w:keepLines w:val="0"/>
        <w:widowControl w:val="0"/>
        <w:numPr>
          <w:ilvl w:val="0"/>
          <w:numId w:val="5"/>
        </w:numPr>
        <w:shd w:val="clear" w:color="auto" w:fill="auto"/>
        <w:tabs>
          <w:tab w:pos="92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необходимого количества специалистов и иных работников определенного уровня квалификации для исполнения контракта.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3 статьи 31 Закона о контрактной системе установлено, что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7"/>
        <w:keepNext w:val="0"/>
        <w:keepLines w:val="0"/>
        <w:widowControl w:val="0"/>
        <w:shd w:val="clear" w:color="auto" w:fill="auto"/>
        <w:bidi w:val="0"/>
        <w:spacing w:before="0" w:after="0" w:line="377" w:lineRule="auto"/>
        <w:ind w:left="0" w:right="0" w:firstLine="560"/>
        <w:jc w:val="both"/>
        <w:rPr>
          <w:sz w:val="22"/>
          <w:szCs w:val="22"/>
        </w:rPr>
        <w:sectPr>
          <w:footnotePr>
            <w:pos w:val="pageBottom"/>
            <w:numFmt w:val="decimal"/>
            <w:numRestart w:val="continuous"/>
          </w:footnotePr>
          <w:pgSz w:w="11900" w:h="16840"/>
          <w:pgMar w:top="1700" w:right="527" w:bottom="697" w:left="1106" w:header="0" w:footer="3"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На основании части 6 статьи 31 Закона о закупках Заказчики не вправе </w:t>
      </w:r>
      <w:r>
        <w:rPr>
          <w:color w:val="000000"/>
          <w:spacing w:val="0"/>
          <w:w w:val="100"/>
          <w:position w:val="0"/>
          <w:sz w:val="22"/>
          <w:szCs w:val="22"/>
          <w:shd w:val="clear" w:color="auto" w:fill="auto"/>
          <w:lang w:val="ru-RU" w:eastAsia="ru-RU" w:bidi="ru-RU"/>
        </w:rPr>
        <w:t>2024-9021</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устанавливать требования к участникам закупок в нарушение требований Закона о контрактной системе.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установлены дополнительные требования к участникам отдельных видов товаров, работ, услуг для обеспечения государственных и муниципальных нужд согласно Приложению (далее - Приложение к Постановлению №2571).</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абзацем 4 подпункта «а» пункта 3 Постановления № 2571 установлено, что позиции 6-13,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Позицией 9 Приложения Постановления № 2571 установлено следующее:</w:t>
      </w:r>
    </w:p>
    <w:tbl>
      <w:tblPr>
        <w:tblOverlap w:val="never"/>
        <w:jc w:val="center"/>
        <w:tblLayout w:type="fixed"/>
      </w:tblPr>
      <w:tblGrid>
        <w:gridCol w:w="1589"/>
        <w:gridCol w:w="4200"/>
        <w:gridCol w:w="4378"/>
      </w:tblGrid>
      <w:tr>
        <w:trPr>
          <w:trHeight w:val="1637" w:hRule="exact"/>
        </w:trPr>
        <w:tc>
          <w:tcPr>
            <w:tcBorders>
              <w:top w:val="single" w:sz="4"/>
              <w:left w:val="single" w:sz="4"/>
            </w:tcBorders>
            <w:shd w:val="clear" w:color="auto" w:fill="auto"/>
            <w:vAlign w:val="bottom"/>
          </w:tcPr>
          <w:p>
            <w:pPr>
              <w:pStyle w:val="Style26"/>
              <w:keepNext w:val="0"/>
              <w:keepLines w:val="0"/>
              <w:widowControl w:val="0"/>
              <w:shd w:val="clear" w:color="auto" w:fill="auto"/>
              <w:bidi w:val="0"/>
              <w:spacing w:before="0" w:after="0" w:line="254"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Наименов ание отдельных видов товаров, работ, услуг, являющихся объектом закупки</w:t>
            </w:r>
          </w:p>
        </w:tc>
        <w:tc>
          <w:tcPr>
            <w:tcBorders>
              <w:top w:val="single" w:sz="4"/>
              <w:left w:val="single" w:sz="4"/>
            </w:tcBorders>
            <w:shd w:val="clear" w:color="auto" w:fill="auto"/>
            <w:vAlign w:val="top"/>
          </w:tcPr>
          <w:p>
            <w:pPr>
              <w:pStyle w:val="Style26"/>
              <w:keepNext w:val="0"/>
              <w:keepLines w:val="0"/>
              <w:widowControl w:val="0"/>
              <w:shd w:val="clear" w:color="auto" w:fill="auto"/>
              <w:bidi w:val="0"/>
              <w:spacing w:before="0" w:after="0" w:line="259"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Дополнительные требования к участникам закупки</w:t>
            </w:r>
          </w:p>
        </w:tc>
        <w:tc>
          <w:tcPr>
            <w:tcBorders>
              <w:top w:val="single" w:sz="4"/>
              <w:left w:val="single" w:sz="4"/>
              <w:right w:val="single" w:sz="4"/>
            </w:tcBorders>
            <w:shd w:val="clear" w:color="auto" w:fill="auto"/>
            <w:vAlign w:val="top"/>
          </w:tcPr>
          <w:p>
            <w:pPr>
              <w:pStyle w:val="Style26"/>
              <w:keepNext w:val="0"/>
              <w:keepLines w:val="0"/>
              <w:widowControl w:val="0"/>
              <w:shd w:val="clear" w:color="auto" w:fill="auto"/>
              <w:bidi w:val="0"/>
              <w:spacing w:before="0" w:after="0" w:line="257"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Информация и документы, подтверждающие соответствие участников закупки дополнительным требованиям</w:t>
            </w:r>
          </w:p>
        </w:tc>
      </w:tr>
      <w:tr>
        <w:trPr>
          <w:trHeight w:val="6254" w:hRule="exact"/>
        </w:trPr>
        <w:tc>
          <w:tcPr>
            <w:tcBorders>
              <w:top w:val="single" w:sz="4"/>
              <w:left w:val="single" w:sz="4"/>
              <w:bottom w:val="single" w:sz="4"/>
            </w:tcBorders>
            <w:shd w:val="clear" w:color="auto" w:fill="auto"/>
            <w:vAlign w:val="top"/>
          </w:tcPr>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Работы по строительству некапитального строения, сооружения (строений, сооружений), благоустройств у территории</w:t>
            </w:r>
          </w:p>
        </w:tc>
        <w:tc>
          <w:tcPr>
            <w:tcBorders>
              <w:top w:val="single" w:sz="4"/>
              <w:left w:val="single" w:sz="4"/>
              <w:bottom w:val="single" w:sz="4"/>
            </w:tcBorders>
            <w:shd w:val="clear" w:color="auto" w:fill="auto"/>
            <w:vAlign w:val="bottom"/>
          </w:tcPr>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наличие у участника закупки следующего опыта выполнения работ:</w:t>
            </w:r>
          </w:p>
          <w:p>
            <w:pPr>
              <w:pStyle w:val="Style26"/>
              <w:keepNext w:val="0"/>
              <w:keepLines w:val="0"/>
              <w:widowControl w:val="0"/>
              <w:numPr>
                <w:ilvl w:val="0"/>
                <w:numId w:val="7"/>
              </w:numPr>
              <w:shd w:val="clear" w:color="auto" w:fill="auto"/>
              <w:tabs>
                <w:tab w:pos="216"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pPr>
              <w:pStyle w:val="Style26"/>
              <w:keepNext w:val="0"/>
              <w:keepLines w:val="0"/>
              <w:widowControl w:val="0"/>
              <w:numPr>
                <w:ilvl w:val="0"/>
                <w:numId w:val="7"/>
              </w:numPr>
              <w:shd w:val="clear" w:color="auto" w:fill="auto"/>
              <w:tabs>
                <w:tab w:pos="216"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(в том числе линейного объекта);</w:t>
            </w:r>
          </w:p>
          <w:p>
            <w:pPr>
              <w:pStyle w:val="Style26"/>
              <w:keepNext w:val="0"/>
              <w:keepLines w:val="0"/>
              <w:widowControl w:val="0"/>
              <w:numPr>
                <w:ilvl w:val="0"/>
                <w:numId w:val="7"/>
              </w:numPr>
              <w:shd w:val="clear" w:color="auto" w:fill="auto"/>
              <w:tabs>
                <w:tab w:pos="216" w:val="left"/>
              </w:tabs>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опыт выполнения участником закупки, являющимся застройщиком, работ по строительству, реконструкции объекта капитального строительства</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Borders>
              <w:top w:val="single" w:sz="4"/>
              <w:left w:val="single" w:sz="4"/>
              <w:bottom w:val="single" w:sz="4"/>
              <w:right w:val="single" w:sz="4"/>
            </w:tcBorders>
            <w:shd w:val="clear" w:color="auto" w:fill="auto"/>
            <w:vAlign w:val="bottom"/>
          </w:tcPr>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в случае наличия опыта, предусмотренного пунктом 1 графы "Дополнительные требования к участникам закупки" настоящей позиции: 1) исполненный договор;</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2) акт выполненных работ, подтверждающий цену выполненных работ.</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В случае наличия опыта, предусмотренного пунктом 2 графы "Дополнительные требования к участникам закупки" настоящей позиции: 1) исполненный договор;</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w:t>
            </w:r>
          </w:p>
        </w:tc>
      </w:tr>
    </w:tbl>
    <w:tbl>
      <w:tblPr>
        <w:tblOverlap w:val="never"/>
        <w:jc w:val="center"/>
        <w:tblLayout w:type="fixed"/>
      </w:tblPr>
      <w:tblGrid>
        <w:gridCol w:w="1589"/>
        <w:gridCol w:w="4200"/>
        <w:gridCol w:w="4378"/>
      </w:tblGrid>
      <w:tr>
        <w:trPr>
          <w:trHeight w:val="163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капитального строительства" проектной документации;</w:t>
            </w:r>
          </w:p>
          <w:p>
            <w:pPr>
              <w:pStyle w:val="Style26"/>
              <w:keepNext w:val="0"/>
              <w:keepLines w:val="0"/>
              <w:widowControl w:val="0"/>
              <w:shd w:val="clear" w:color="auto" w:fill="auto"/>
              <w:bidi w:val="0"/>
              <w:spacing w:before="0" w:after="0" w:line="254" w:lineRule="auto"/>
              <w:ind w:left="0" w:right="0" w:firstLine="0"/>
              <w:jc w:val="left"/>
              <w:rPr>
                <w:sz w:val="19"/>
                <w:szCs w:val="19"/>
              </w:rPr>
            </w:pPr>
            <w:r>
              <w:rPr>
                <w:color w:val="000000"/>
                <w:spacing w:val="0"/>
                <w:w w:val="100"/>
                <w:position w:val="0"/>
                <w:sz w:val="19"/>
                <w:szCs w:val="19"/>
                <w:shd w:val="clear" w:color="auto" w:fill="auto"/>
                <w:lang w:val="ru-RU" w:eastAsia="ru-RU" w:bidi="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tc>
      </w:tr>
    </w:tbl>
    <w:p>
      <w:pPr>
        <w:widowControl w:val="0"/>
        <w:spacing w:after="299" w:line="1" w:lineRule="exact"/>
      </w:pP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закупки является приобретение и монтаж быстровозводимой модульной конструкции объекта «Поликлиника на 170 посещений в смену, в том числе 40 посещений в смену детей ГБУЗ РХ «Боградская районная больница» общей площадью 2982 кв. м , начальная (максимальная) цена контракта - 390 000 000,00 рублей.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Извещении Заказчиком установлены следующие требования к участникам закупки:</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«Требования в соответствии с пунктом 4 ПП РФ от 29.12.2021 №2571 Дополнительные требования:</w:t>
      </w:r>
    </w:p>
    <w:p>
      <w:pPr>
        <w:pStyle w:val="Style14"/>
        <w:keepNext w:val="0"/>
        <w:keepLines w:val="0"/>
        <w:widowControl w:val="0"/>
        <w:shd w:val="clear" w:color="auto" w:fill="auto"/>
        <w:bidi w:val="0"/>
        <w:spacing w:before="0" w:line="240" w:lineRule="auto"/>
        <w:ind w:left="0" w:right="0"/>
        <w:jc w:val="both"/>
      </w:pPr>
      <w:r>
        <w:rPr>
          <w:color w:val="000000"/>
          <w:spacing w:val="0"/>
          <w:w w:val="100"/>
          <w:position w:val="0"/>
          <w:sz w:val="24"/>
          <w:szCs w:val="24"/>
          <w:shd w:val="clear" w:color="auto" w:fill="auto"/>
          <w:lang w:val="ru-RU" w:eastAsia="ru-RU" w:bidi="ru-RU"/>
        </w:rPr>
        <w:t>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дополнительному требованию, установленному в соответствии с частью 2.1 ст. 31 Закона о контрактной системе, являются информация и документы, предусмотренные хотя бы одним из следующих подпунктов: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 ».</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пункту 10.2 статьи 1 Градостроительного кодекса Российской Федерации (далее - ГрК РФ) 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Подпунктом 23 пункта 2 статьи 2 Федерального закона от 30.12.2009 №384-Ф3 </w:t>
      </w:r>
      <w:r>
        <w:rPr>
          <w:color w:val="000000"/>
          <w:spacing w:val="0"/>
          <w:w w:val="100"/>
          <w:position w:val="0"/>
          <w:shd w:val="clear" w:color="auto" w:fill="auto"/>
          <w:lang w:val="ru-RU" w:eastAsia="ru-RU" w:bidi="ru-RU"/>
        </w:rPr>
        <w:t>«Технический регламент о безопасности зданий и сооружений» предусмотрено, что сооружение - это результат строительства, представляющий собой объемную, плоскостную или линейную строительную систему, имеющую наземную, надземную и (или) подземную части, состоящую из несущих, а в отдельных случаях и ограждающих строительных конструкций и предназначенную для выполнения производственных процессов различного вида, хранения продукции, временного пребывания людей, перемещения людей и грузов.</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Определение термина «строение» отсутствует в положениях Федерального закона № 384-ФЗ.</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готовые модульные конструкции комплектной заводской поставки, не подпадают под понятие «строительство некапитального строения или сооружения», так как в процессе выполнения работ Поставщик не будет строить новое здание, результатом его деятельности будут работы по монтажу готовых модульных конструкций, в связи с чем, объект закупки не может считаться строительством некапитального строения, сооружения.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пунктом 1.1 проекта Контракта предусмотрено, что Поставщик обязуется осуществить Поставку и монтаж быстровозводимой модульной конструкции объекта «Поликлиника на 170 посещений в смену, в том числе 40 посещений в смену детей ГБУЗ РХ «Боградская районная больница» общей площадью 2982 кв. м (далее - Товар) в соответствии со Спецификацией (Приложение №1 к Контракту) и Описание объекта закупки (Приложение № 2 к Контракту), являющимися неотъемлемой частью Контракта, а Заказчик обязуется принять и оплатить поставленный и смонтированный Товар в порядке и на условиях, предусмотренных Контрактом.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Согласно пункта 1.2 проекта Контракта качество и комплектность Товара должны соответствовать Описанию объекта закупки (Приложение №2 к Контракту).</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проекте контракта предусмотрены обязательства поставщика в порядке и сроки, предусмотренные контрактом осуществить поставку товара и монтаж быстровозводимой модульной конструкции (пункт 4.1 проекта Контракта).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1 Описания объекта закупки Заказчиком указано в том числе следующее.</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«Наименование объекта закупки: Приобретение и монтаж быстровозводимой модульной конструкции объекта «Поликлиника на 170 посещений в смену, в том числе 40 посещений в смену детей ГБУЗ РХ «Боградская районная больница» общей площадью 2982 кв. м</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Срок поставки и монтаж: с момента заключения контракта до 01.10.2025 г.</w:t>
      </w:r>
    </w:p>
    <w:p>
      <w:pPr>
        <w:pStyle w:val="Style14"/>
        <w:keepNext w:val="0"/>
        <w:keepLines w:val="0"/>
        <w:widowControl w:val="0"/>
        <w:shd w:val="clear" w:color="auto" w:fill="auto"/>
        <w:bidi w:val="0"/>
        <w:spacing w:before="0" w:after="0" w:line="240" w:lineRule="auto"/>
        <w:ind w:left="0" w:right="0"/>
        <w:jc w:val="both"/>
      </w:pPr>
      <w:r>
        <w:rPr>
          <w:color w:val="000000"/>
          <w:spacing w:val="0"/>
          <w:w w:val="100"/>
          <w:position w:val="0"/>
          <w:sz w:val="24"/>
          <w:szCs w:val="24"/>
          <w:shd w:val="clear" w:color="auto" w:fill="auto"/>
          <w:lang w:val="ru-RU" w:eastAsia="ru-RU" w:bidi="ru-RU"/>
        </w:rPr>
        <w:t>Место поставки и монтажа: ул. Новая 22, с. Боград Боградского района Республики Хакасия.</w:t>
      </w:r>
    </w:p>
    <w:p>
      <w:pPr>
        <w:pStyle w:val="Style14"/>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Требование к товару, услугам, работ: Приобретение и монтаж быстровозводимой модульной конструкции объекта «Поликлиника на 170 посещений в смену, в том числе 40 посещений в смену детей ГБУЗ РХ «Боградская районная больница» общей площадью 2982 кв. 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Проанализировав описание объекта закупки, Комиссией установлено, что Заказчик указывает основные технические характеристики к поставляемому товару (пункт 2.3 Описания объекта закупки).</w:t>
      </w:r>
    </w:p>
    <w:p>
      <w:pPr>
        <w:pStyle w:val="Style17"/>
        <w:keepNext w:val="0"/>
        <w:keepLines w:val="0"/>
        <w:widowControl w:val="0"/>
        <w:shd w:val="clear" w:color="auto" w:fill="auto"/>
        <w:bidi w:val="0"/>
        <w:spacing w:before="0" w:after="0" w:line="240" w:lineRule="auto"/>
        <w:ind w:left="0" w:right="0" w:firstLine="58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695" w:right="511" w:bottom="1340" w:left="1084" w:header="0" w:footer="3" w:gutter="0"/>
          <w:cols w:space="720"/>
          <w:noEndnote/>
          <w:rtlGutter w:val="0"/>
          <w:docGrid w:linePitch="360"/>
        </w:sectPr>
      </w:pPr>
      <w:r>
        <w:rPr>
          <w:color w:val="000000"/>
          <w:spacing w:val="0"/>
          <w:w w:val="100"/>
          <w:position w:val="0"/>
          <w:shd w:val="clear" w:color="auto" w:fill="auto"/>
          <w:lang w:val="ru-RU" w:eastAsia="ru-RU" w:bidi="ru-RU"/>
        </w:rPr>
        <w:t>Таким образом, из описания объекта закупки, что предметом товара является</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поставка товара - комплекта сборной модульной конструкции, характеристики которого определены в разделе описания объекта закупки, а также выполнение комплекса работ и услуг по монтажу и установке указанной конструкции. При этом положения описания объекта закупки, проекта контракта не предусматривают обязательства по строительству некапитального строения (сооружения).</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свою очередь, Комиссия Хакасского УФАС России на заседании представителю Заявителя задала вопрос какой пункт описания объекта закупки относится с работам по строительству некапитального строения, сооружения (строений, сооружений), представитель Заявителя не смог ответить на данный вопрос, для подготовки к ответу на вопрос, Комиссия объявила перерыв. Однако, после объявленного перерыва Заявитель письменных пояснений в адрес антимонопольного органа не направил, а также не принял участие в заседании комиссии.</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Таким образом, Заявитель не представил доказательства и каких-либо пояснений отнесения объекта закупки именно к тем работам упомянутым в жалобе и как следствие, обязанности Заказчика установить дополнительное требование к участникам закупки в соответствии с позицией 9 приложения к Постановлению №2571.</w:t>
      </w:r>
    </w:p>
    <w:p>
      <w:pPr>
        <w:pStyle w:val="Style17"/>
        <w:keepNext w:val="0"/>
        <w:keepLines w:val="0"/>
        <w:widowControl w:val="0"/>
        <w:shd w:val="clear" w:color="auto" w:fill="auto"/>
        <w:bidi w:val="0"/>
        <w:spacing w:before="0" w:after="320" w:line="240" w:lineRule="auto"/>
        <w:ind w:left="0" w:right="0" w:firstLine="560"/>
        <w:jc w:val="both"/>
      </w:pPr>
      <w:r>
        <w:rPr>
          <w:color w:val="000000"/>
          <w:spacing w:val="0"/>
          <w:w w:val="100"/>
          <w:position w:val="0"/>
          <w:shd w:val="clear" w:color="auto" w:fill="auto"/>
          <w:lang w:val="ru-RU" w:eastAsia="ru-RU" w:bidi="ru-RU"/>
        </w:rPr>
        <w:t>Довод жалобы не обоснован.</w:t>
      </w:r>
    </w:p>
    <w:p>
      <w:pPr>
        <w:pStyle w:val="Style17"/>
        <w:keepNext w:val="0"/>
        <w:keepLines w:val="0"/>
        <w:widowControl w:val="0"/>
        <w:shd w:val="clear" w:color="auto" w:fill="auto"/>
        <w:bidi w:val="0"/>
        <w:spacing w:before="0" w:after="320" w:line="240" w:lineRule="auto"/>
        <w:ind w:left="0" w:right="0" w:firstLine="540"/>
        <w:jc w:val="both"/>
      </w:pPr>
      <w:r>
        <w:rPr>
          <w:i/>
          <w:iCs/>
          <w:color w:val="000000"/>
          <w:spacing w:val="0"/>
          <w:w w:val="100"/>
          <w:position w:val="0"/>
          <w:shd w:val="clear" w:color="auto" w:fill="auto"/>
          <w:lang w:val="ru-RU" w:eastAsia="ru-RU" w:bidi="ru-RU"/>
        </w:rPr>
        <w:t>В результате проведения внеплановой проверки установлено следующее.</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Частью 1 статьи 34 Закона о контрактной системе установлено,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частью 23 статьи 34 Закона о контрактной системе в случае, если начальная (максимальная) цена контракта при осуществлении закупки товара, работы, услуги превышает размер,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pPr>
        <w:pStyle w:val="Style17"/>
        <w:keepNext w:val="0"/>
        <w:keepLines w:val="0"/>
        <w:widowControl w:val="0"/>
        <w:shd w:val="clear" w:color="auto" w:fill="auto"/>
        <w:bidi w:val="0"/>
        <w:spacing w:before="0" w:after="320" w:line="276" w:lineRule="auto"/>
        <w:ind w:left="0" w:right="0" w:firstLine="560"/>
        <w:jc w:val="both"/>
        <w:rPr>
          <w:sz w:val="22"/>
          <w:szCs w:val="22"/>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700" w:right="527" w:bottom="802" w:left="1106" w:header="0" w:footer="374"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части 24 статьи 34 Закона о контрактной системе, указанная в части 23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w:t>
      </w:r>
      <w:r>
        <w:rPr>
          <w:color w:val="000000"/>
          <w:spacing w:val="0"/>
          <w:w w:val="100"/>
          <w:position w:val="0"/>
          <w:sz w:val="22"/>
          <w:szCs w:val="22"/>
          <w:shd w:val="clear" w:color="auto" w:fill="auto"/>
          <w:lang w:val="ru-RU" w:eastAsia="ru-RU" w:bidi="ru-RU"/>
        </w:rPr>
        <w:t>2024-9021</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предусмотрена ответственность за непредоставление указанной информации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Пунктом 2 Постановления Правительства Российской Федерации от 04.09.2013 г № 775 «Об установлении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установлены следующие размеры начальной (максимальной) цены контракта, при превышении которых в контракте должна быть указана обязанность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10 процентов цены контракта: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 млрд, рублей - при осуществлении закупки для обеспечения федеральных нужд;</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100 млн. рублей - при осуществлении закупки для обеспечения нужд субъекта Российской Федерации и муниципальных нужд.</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Вместе с тем, проанализировав извещение о проведении электронного аукциона и приложения к извещению, а также учитывая, что начальная (максимальная) цена рассматриваемой закупки составляет 390 000 000,00 руб., Комиссия Хакасского УФАС России приходит к выводу, что проект контракта не содержит в себе обязанности поставщика (подрядчика, исполнителя) предоставлять информацию обо всех соисполнителях, субподрядчиках, заключивших договор или договоры с поставщиком (подрядчиком, исполнителем), а также ответственность за непредоставление вышеуказанной информации, что является нарушением положений частей 23 и 24 статьи 34 Закона о контрактной системе. В действиях должностного лица, допустившего такое нарушение, содержатся признаки состава административного правонарушения, предусмотренного частью 1.4 статьи 7.30 КоАП РФ.</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Согласно пункта 2 части 22 статьи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антимонопольного органа, с учётом существенных нарушений, выявленных в ходе проведения внеплановой проверки, принято решение выдать субъектам контроля обязательное для исполнения предписание об устранении нарушений.</w:t>
      </w:r>
    </w:p>
    <w:p>
      <w:pPr>
        <w:pStyle w:val="Style17"/>
        <w:keepNext w:val="0"/>
        <w:keepLines w:val="0"/>
        <w:widowControl w:val="0"/>
        <w:shd w:val="clear" w:color="auto" w:fill="auto"/>
        <w:bidi w:val="0"/>
        <w:spacing w:before="0" w:after="32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положениями Закона о контрактной системе, Комиссия,</w:t>
      </w:r>
    </w:p>
    <w:p>
      <w:pPr>
        <w:pStyle w:val="Style17"/>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7"/>
        <w:keepNext w:val="0"/>
        <w:keepLines w:val="0"/>
        <w:widowControl w:val="0"/>
        <w:numPr>
          <w:ilvl w:val="0"/>
          <w:numId w:val="9"/>
        </w:numPr>
        <w:shd w:val="clear" w:color="auto" w:fill="auto"/>
        <w:tabs>
          <w:tab w:pos="9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жалобу ООО «Техномодуль» обоснованной.</w:t>
      </w:r>
    </w:p>
    <w:p>
      <w:pPr>
        <w:pStyle w:val="Style17"/>
        <w:keepNext w:val="0"/>
        <w:keepLines w:val="0"/>
        <w:widowControl w:val="0"/>
        <w:numPr>
          <w:ilvl w:val="0"/>
          <w:numId w:val="9"/>
        </w:numPr>
        <w:shd w:val="clear" w:color="auto" w:fill="auto"/>
        <w:tabs>
          <w:tab w:pos="94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Заказчика нарушившим части 23 и 24 статьи 34 Закона о контрактной системе.</w:t>
      </w:r>
    </w:p>
    <w:p>
      <w:pPr>
        <w:pStyle w:val="Style17"/>
        <w:keepNext w:val="0"/>
        <w:keepLines w:val="0"/>
        <w:widowControl w:val="0"/>
        <w:numPr>
          <w:ilvl w:val="0"/>
          <w:numId w:val="9"/>
        </w:numPr>
        <w:shd w:val="clear" w:color="auto" w:fill="auto"/>
        <w:tabs>
          <w:tab w:pos="94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Заказчику, Уполномоченному органу и его комиссии, а также оператору электронной площадки выдать предписание об устранении нарушений.</w:t>
      </w:r>
    </w:p>
    <w:p>
      <w:pPr>
        <w:pStyle w:val="Style17"/>
        <w:keepNext w:val="0"/>
        <w:keepLines w:val="0"/>
        <w:widowControl w:val="0"/>
        <w:numPr>
          <w:ilvl w:val="0"/>
          <w:numId w:val="9"/>
        </w:numPr>
        <w:shd w:val="clear" w:color="auto" w:fill="auto"/>
        <w:tabs>
          <w:tab w:pos="944" w:val="left"/>
        </w:tabs>
        <w:bidi w:val="0"/>
        <w:spacing w:before="0" w:after="240" w:line="240" w:lineRule="auto"/>
        <w:ind w:left="0" w:right="0" w:firstLine="580"/>
        <w:jc w:val="both"/>
      </w:pPr>
      <w:r>
        <w:rPr>
          <w:color w:val="000000"/>
          <w:spacing w:val="0"/>
          <w:w w:val="100"/>
          <w:position w:val="0"/>
          <w:shd w:val="clear" w:color="auto" w:fill="auto"/>
          <w:lang w:val="ru-RU" w:eastAsia="ru-RU" w:bidi="ru-RU"/>
        </w:rPr>
        <w:t>Передать материалы жалобы должностному лицу Управления Федеральной антимонопольной службы по Республике Хакасия для рассмотрения вопроса о возбуждении дела об административном правонарушении.</w:t>
      </w:r>
    </w:p>
    <w:p>
      <w:pPr>
        <w:pStyle w:val="Style14"/>
        <w:keepNext w:val="0"/>
        <w:keepLines w:val="0"/>
        <w:widowControl w:val="0"/>
        <w:shd w:val="clear" w:color="auto" w:fill="auto"/>
        <w:bidi w:val="0"/>
        <w:spacing w:before="0" w:after="60" w:line="240" w:lineRule="auto"/>
        <w:ind w:left="0" w:right="0"/>
        <w:jc w:val="both"/>
        <w:rPr>
          <w:sz w:val="22"/>
          <w:szCs w:val="22"/>
        </w:rPr>
      </w:pPr>
      <w:r>
        <w:rPr>
          <w:color w:val="000000"/>
          <w:spacing w:val="0"/>
          <w:w w:val="100"/>
          <w:position w:val="0"/>
          <w:sz w:val="22"/>
          <w:szCs w:val="22"/>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pStyle w:val="Style17"/>
        <w:keepNext w:val="0"/>
        <w:keepLines w:val="0"/>
        <w:widowControl w:val="0"/>
        <w:shd w:val="clear" w:color="auto" w:fill="auto"/>
        <w:bidi w:val="0"/>
        <w:spacing w:before="0" w:after="1380" w:line="240" w:lineRule="auto"/>
        <w:ind w:left="0" w:right="0" w:firstLine="0"/>
        <w:jc w:val="both"/>
      </w:pPr>
      <w:r>
        <w:rPr>
          <w:color w:val="000000"/>
          <w:spacing w:val="0"/>
          <w:w w:val="100"/>
          <w:position w:val="0"/>
          <w:shd w:val="clear" w:color="auto" w:fill="auto"/>
          <w:lang w:val="ru-RU" w:eastAsia="ru-RU" w:bidi="ru-RU"/>
        </w:rPr>
        <w:t>Председатель комиссии</w:t>
      </w:r>
    </w:p>
    <w:p>
      <w:pPr>
        <w:pStyle w:val="Style17"/>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r>
    </w:p>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700" w:right="527" w:bottom="1297"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36905" cy="100330"/>
              <wp:wrapNone/>
              <wp:docPr id="2" name="Shape 2"/>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776.20000000000005pt;width:50.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4" name="Shape 4"/>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30"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727075</wp:posOffset>
              </wp:positionH>
              <wp:positionV relativeFrom="page">
                <wp:posOffset>10016490</wp:posOffset>
              </wp:positionV>
              <wp:extent cx="636905" cy="100330"/>
              <wp:wrapNone/>
              <wp:docPr id="10" name="Shape 10"/>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36" type="#_x0000_t202" style="position:absolute;margin-left:57.25pt;margin-top:788.70000000000005pt;width:50.1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727075</wp:posOffset>
              </wp:positionH>
              <wp:positionV relativeFrom="page">
                <wp:posOffset>10016490</wp:posOffset>
              </wp:positionV>
              <wp:extent cx="636905" cy="100330"/>
              <wp:wrapNone/>
              <wp:docPr id="16" name="Shape 16"/>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42" type="#_x0000_t202" style="position:absolute;margin-left:57.25pt;margin-top:788.70000000000005pt;width:50.149999999999999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727075</wp:posOffset>
              </wp:positionH>
              <wp:positionV relativeFrom="page">
                <wp:posOffset>10016490</wp:posOffset>
              </wp:positionV>
              <wp:extent cx="636905" cy="100330"/>
              <wp:wrapNone/>
              <wp:docPr id="20" name="Shape 20"/>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46" type="#_x0000_t202" style="position:absolute;margin-left:57.25pt;margin-top:788.70000000000005pt;width:50.149999999999999pt;height:7.9000000000000004pt;z-index:-18874404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727075</wp:posOffset>
              </wp:positionH>
              <wp:positionV relativeFrom="page">
                <wp:posOffset>10016490</wp:posOffset>
              </wp:positionV>
              <wp:extent cx="636905" cy="100330"/>
              <wp:wrapNone/>
              <wp:docPr id="28" name="Shape 28"/>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54" type="#_x0000_t202" style="position:absolute;margin-left:57.25pt;margin-top:788.70000000000005pt;width:50.149999999999999pt;height:7.9000000000000004pt;z-index:-18874403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727075</wp:posOffset>
              </wp:positionH>
              <wp:positionV relativeFrom="page">
                <wp:posOffset>10016490</wp:posOffset>
              </wp:positionV>
              <wp:extent cx="636905" cy="100330"/>
              <wp:wrapNone/>
              <wp:docPr id="32" name="Shape 32"/>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wps:txbx>
                    <wps:bodyPr wrap="none" lIns="0" tIns="0" rIns="0" bIns="0">
                      <a:spAutoFit/>
                    </wps:bodyPr>
                  </wps:wsp>
                </a:graphicData>
              </a:graphic>
            </wp:anchor>
          </w:drawing>
        </mc:Choice>
        <mc:Fallback>
          <w:pict>
            <v:shape id="_x0000_s1058" type="#_x0000_t202" style="position:absolute;margin-left:57.25pt;margin-top:788.70000000000005pt;width:50.149999999999999pt;height:7.9000000000000004pt;z-index:-18874403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2024-9021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3905885</wp:posOffset>
              </wp:positionH>
              <wp:positionV relativeFrom="page">
                <wp:posOffset>762635</wp:posOffset>
              </wp:positionV>
              <wp:extent cx="128270" cy="100330"/>
              <wp:wrapNone/>
              <wp:docPr id="8" name="Shape 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4" type="#_x0000_t202" style="position:absolute;margin-left:307.55000000000001pt;margin-top:60.050000000000004pt;width:10.1pt;height:7.9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762635</wp:posOffset>
              </wp:positionV>
              <wp:extent cx="67310" cy="100330"/>
              <wp:wrapNone/>
              <wp:docPr id="12" name="Shape 1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8" type="#_x0000_t202" style="position:absolute;margin-left:309.pt;margin-top:60.050000000000004pt;width:5.2999999999999998pt;height:7.9000000000000004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3905885</wp:posOffset>
              </wp:positionH>
              <wp:positionV relativeFrom="page">
                <wp:posOffset>762635</wp:posOffset>
              </wp:positionV>
              <wp:extent cx="128270" cy="100330"/>
              <wp:wrapNone/>
              <wp:docPr id="14" name="Shape 14"/>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0" type="#_x0000_t202" style="position:absolute;margin-left:307.55000000000001pt;margin-top:60.050000000000004pt;width:10.1pt;height:7.9000000000000004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3905885</wp:posOffset>
              </wp:positionH>
              <wp:positionV relativeFrom="page">
                <wp:posOffset>762635</wp:posOffset>
              </wp:positionV>
              <wp:extent cx="128270" cy="100330"/>
              <wp:wrapNone/>
              <wp:docPr id="18" name="Shape 18"/>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4" type="#_x0000_t202" style="position:absolute;margin-left:307.55000000000001pt;margin-top:60.050000000000004pt;width:10.1pt;height:7.9000000000000004pt;z-index:-18874404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3924300</wp:posOffset>
              </wp:positionH>
              <wp:positionV relativeFrom="page">
                <wp:posOffset>762635</wp:posOffset>
              </wp:positionV>
              <wp:extent cx="67310" cy="100330"/>
              <wp:wrapNone/>
              <wp:docPr id="22" name="Shape 22"/>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8" type="#_x0000_t202" style="position:absolute;margin-left:309.pt;margin-top:60.050000000000004pt;width:5.2999999999999998pt;height:7.9000000000000004pt;z-index:-18874404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3924300</wp:posOffset>
              </wp:positionH>
              <wp:positionV relativeFrom="page">
                <wp:posOffset>762635</wp:posOffset>
              </wp:positionV>
              <wp:extent cx="67310" cy="100330"/>
              <wp:wrapNone/>
              <wp:docPr id="24" name="Shape 24"/>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0" type="#_x0000_t202" style="position:absolute;margin-left:309.pt;margin-top:60.050000000000004pt;width:5.2999999999999998pt;height:7.9000000000000004pt;z-index:-18874404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3905885</wp:posOffset>
              </wp:positionH>
              <wp:positionV relativeFrom="page">
                <wp:posOffset>762635</wp:posOffset>
              </wp:positionV>
              <wp:extent cx="128270" cy="100330"/>
              <wp:wrapNone/>
              <wp:docPr id="26" name="Shape 26"/>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2" type="#_x0000_t202" style="position:absolute;margin-left:307.55000000000001pt;margin-top:60.050000000000004pt;width:10.1pt;height:7.9000000000000004pt;z-index:-18874404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3905885</wp:posOffset>
              </wp:positionH>
              <wp:positionV relativeFrom="page">
                <wp:posOffset>762635</wp:posOffset>
              </wp:positionV>
              <wp:extent cx="128270" cy="100330"/>
              <wp:wrapNone/>
              <wp:docPr id="30" name="Shape 30"/>
              <a:graphic xmlns:a="http://schemas.openxmlformats.org/drawingml/2006/main">
                <a:graphicData uri="http://schemas.microsoft.com/office/word/2010/wordprocessingShape">
                  <wps:wsp>
                    <wps:cNvSpPr txBox="1"/>
                    <wps:spPr>
                      <a:xfrm>
                        <a:ext cx="1282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56" type="#_x0000_t202" style="position:absolute;margin-left:307.55000000000001pt;margin-top:60.050000000000004pt;width:10.1pt;height:7.9000000000000004pt;z-index:-18874403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95E8F"/>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95E8F"/>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 (2)_"/>
    <w:basedOn w:val="DefaultParagraphFont"/>
    <w:link w:val="Style14"/>
    <w:rPr>
      <w:rFonts w:ascii="Times New Roman" w:eastAsia="Times New Roman" w:hAnsi="Times New Roman" w:cs="Times New Roman"/>
      <w:b w:val="0"/>
      <w:bCs w:val="0"/>
      <w:i/>
      <w:iCs/>
      <w:smallCaps w:val="0"/>
      <w:strike w:val="0"/>
      <w:u w:val="non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Заголовок №1_"/>
    <w:basedOn w:val="DefaultParagraphFont"/>
    <w:link w:val="Style21"/>
    <w:rPr>
      <w:rFonts w:ascii="Arial" w:eastAsia="Arial" w:hAnsi="Arial" w:cs="Arial"/>
      <w:b w:val="0"/>
      <w:bCs w:val="0"/>
      <w:i w:val="0"/>
      <w:iCs w:val="0"/>
      <w:smallCaps w:val="0"/>
      <w:strike w:val="0"/>
      <w:sz w:val="48"/>
      <w:szCs w:val="48"/>
      <w:u w:val="none"/>
    </w:rPr>
  </w:style>
  <w:style w:type="character" w:customStyle="1" w:styleId="CharStyle25">
    <w:name w:val="Подпись к таблице_"/>
    <w:basedOn w:val="DefaultParagraphFont"/>
    <w:link w:val="Style24"/>
    <w:rPr>
      <w:rFonts w:ascii="Times New Roman" w:eastAsia="Times New Roman" w:hAnsi="Times New Roman" w:cs="Times New Roman"/>
      <w:b w:val="0"/>
      <w:bCs w:val="0"/>
      <w:i w:val="0"/>
      <w:iCs w:val="0"/>
      <w:smallCaps w:val="0"/>
      <w:strike w:val="0"/>
      <w:sz w:val="28"/>
      <w:szCs w:val="28"/>
      <w:u w:val="single"/>
    </w:rPr>
  </w:style>
  <w:style w:type="character" w:customStyle="1" w:styleId="CharStyle27">
    <w:name w:val="Другое_"/>
    <w:basedOn w:val="DefaultParagraphFont"/>
    <w:link w:val="Style26"/>
    <w:rPr>
      <w:rFonts w:ascii="Times New Roman" w:eastAsia="Times New Roman" w:hAnsi="Times New Roman" w:cs="Times New Roman"/>
      <w:b w:val="0"/>
      <w:bCs w:val="0"/>
      <w:i w:val="0"/>
      <w:iCs w:val="0"/>
      <w:smallCaps w:val="0"/>
      <w:strike w:val="0"/>
      <w:sz w:val="28"/>
      <w:szCs w:val="28"/>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240" w:line="276" w:lineRule="auto"/>
      <w:jc w:val="center"/>
    </w:pPr>
    <w:rPr>
      <w:rFonts w:ascii="Times New Roman" w:eastAsia="Times New Roman" w:hAnsi="Times New Roman" w:cs="Times New Roman"/>
      <w:b w:val="0"/>
      <w:bCs w:val="0"/>
      <w:i w:val="0"/>
      <w:iCs w:val="0"/>
      <w:smallCaps w:val="0"/>
      <w:strike w:val="0"/>
      <w:color w:val="495E8F"/>
      <w:sz w:val="16"/>
      <w:szCs w:val="16"/>
      <w:u w:val="none"/>
    </w:rPr>
  </w:style>
  <w:style w:type="paragraph" w:customStyle="1" w:styleId="Style8">
    <w:name w:val="Основной текст (4)"/>
    <w:basedOn w:val="Normal"/>
    <w:link w:val="CharStyle9"/>
    <w:pPr>
      <w:widowControl w:val="0"/>
      <w:shd w:val="clear" w:color="auto" w:fill="auto"/>
      <w:spacing w:after="160"/>
      <w:jc w:val="center"/>
    </w:pPr>
    <w:rPr>
      <w:rFonts w:ascii="Times New Roman" w:eastAsia="Times New Roman" w:hAnsi="Times New Roman" w:cs="Times New Roman"/>
      <w:b/>
      <w:bCs/>
      <w:i w:val="0"/>
      <w:iCs w:val="0"/>
      <w:smallCaps w:val="0"/>
      <w:strike w:val="0"/>
      <w:color w:val="495E8F"/>
      <w:sz w:val="19"/>
      <w:szCs w:val="19"/>
      <w:u w:val="none"/>
    </w:rPr>
  </w:style>
  <w:style w:type="paragraph" w:customStyle="1" w:styleId="Style10">
    <w:name w:val="Заголовок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2)"/>
    <w:basedOn w:val="Normal"/>
    <w:link w:val="CharStyle15"/>
    <w:pPr>
      <w:widowControl w:val="0"/>
      <w:shd w:val="clear" w:color="auto" w:fill="auto"/>
      <w:spacing w:after="300"/>
      <w:ind w:firstLine="580"/>
    </w:pPr>
    <w:rPr>
      <w:rFonts w:ascii="Times New Roman" w:eastAsia="Times New Roman" w:hAnsi="Times New Roman" w:cs="Times New Roman"/>
      <w:b w:val="0"/>
      <w:bCs w:val="0"/>
      <w:i/>
      <w:iCs/>
      <w:smallCaps w:val="0"/>
      <w:strike w:val="0"/>
      <w:u w:val="non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Заголовок №1"/>
    <w:basedOn w:val="Normal"/>
    <w:link w:val="CharStyle22"/>
    <w:pPr>
      <w:widowControl w:val="0"/>
      <w:shd w:val="clear" w:color="auto" w:fill="auto"/>
      <w:spacing w:after="320"/>
      <w:outlineLvl w:val="0"/>
    </w:pPr>
    <w:rPr>
      <w:rFonts w:ascii="Arial" w:eastAsia="Arial" w:hAnsi="Arial" w:cs="Arial"/>
      <w:b w:val="0"/>
      <w:bCs w:val="0"/>
      <w:i w:val="0"/>
      <w:iCs w:val="0"/>
      <w:smallCaps w:val="0"/>
      <w:strike w:val="0"/>
      <w:sz w:val="48"/>
      <w:szCs w:val="48"/>
      <w:u w:val="none"/>
    </w:rPr>
  </w:style>
  <w:style w:type="paragraph" w:customStyle="1" w:styleId="Style24">
    <w:name w:val="Подпись к таблице"/>
    <w:basedOn w:val="Normal"/>
    <w:link w:val="CharStyle25"/>
    <w:pPr>
      <w:widowControl w:val="0"/>
      <w:shd w:val="clear" w:color="auto" w:fill="auto"/>
      <w:jc w:val="center"/>
    </w:pPr>
    <w:rPr>
      <w:rFonts w:ascii="Times New Roman" w:eastAsia="Times New Roman" w:hAnsi="Times New Roman" w:cs="Times New Roman"/>
      <w:b w:val="0"/>
      <w:bCs w:val="0"/>
      <w:i w:val="0"/>
      <w:iCs w:val="0"/>
      <w:smallCaps w:val="0"/>
      <w:strike w:val="0"/>
      <w:sz w:val="28"/>
      <w:szCs w:val="28"/>
      <w:u w:val="single"/>
    </w:rPr>
  </w:style>
  <w:style w:type="paragraph" w:customStyle="1" w:styleId="Style26">
    <w:name w:val="Другое"/>
    <w:basedOn w:val="Normal"/>
    <w:link w:val="CharStyle2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header" Target="header3.xml"/><Relationship Id="rId14" Type="http://schemas.openxmlformats.org/officeDocument/2006/relationships/footer" Target="footer5.xml"/><Relationship Id="rId15" Type="http://schemas.openxmlformats.org/officeDocument/2006/relationships/header" Target="header4.xml"/><Relationship Id="rId16" Type="http://schemas.openxmlformats.org/officeDocument/2006/relationships/footer" Target="footer6.xml"/><Relationship Id="rId17" Type="http://schemas.openxmlformats.org/officeDocument/2006/relationships/header" Target="header5.xml"/><Relationship Id="rId18" Type="http://schemas.openxmlformats.org/officeDocument/2006/relationships/footer" Target="footer7.xml"/><Relationship Id="rId19" Type="http://schemas.openxmlformats.org/officeDocument/2006/relationships/header" Target="header6.xml"/><Relationship Id="rId20" Type="http://schemas.openxmlformats.org/officeDocument/2006/relationships/footer" Target="footer8.xml"/><Relationship Id="rId21" Type="http://schemas.openxmlformats.org/officeDocument/2006/relationships/header" Target="header7.xml"/><Relationship Id="rId22" Type="http://schemas.openxmlformats.org/officeDocument/2006/relationships/footer" Target="footer9.xml"/><Relationship Id="rId23" Type="http://schemas.openxmlformats.org/officeDocument/2006/relationships/header" Target="header8.xml"/><Relationship Id="rId24" Type="http://schemas.openxmlformats.org/officeDocument/2006/relationships/footer" Target="footer10.xml"/></Relationships>
</file>