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60" w:line="240" w:lineRule="auto"/>
        <w:ind w:left="0" w:right="0" w:firstLine="600"/>
        <w:jc w:val="left"/>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pPr>
      <w:r>
        <w:rPr>
          <w:b/>
          <w:bCs/>
          <w:color w:val="4B6293"/>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380" w:line="254" w:lineRule="auto"/>
        <w:ind w:left="0" w:right="0" w:firstLine="0"/>
        <w:jc w:val="center"/>
      </w:pPr>
      <w:r>
        <w:rPr>
          <w:b/>
          <w:bCs/>
          <w:color w:val="4B6293"/>
          <w:spacing w:val="0"/>
          <w:w w:val="100"/>
          <w:position w:val="0"/>
          <w:shd w:val="clear" w:color="auto" w:fill="auto"/>
          <w:lang w:val="ru-RU" w:eastAsia="ru-RU" w:bidi="ru-RU"/>
        </w:rPr>
        <w:t>Федеральной антимонопольной службы</w:t>
        <w:br/>
        <w:t>по Смоленской области</w:t>
      </w:r>
    </w:p>
    <w:p>
      <w:pPr>
        <w:pStyle w:val="Style2"/>
        <w:keepNext w:val="0"/>
        <w:keepLines w:val="0"/>
        <w:widowControl w:val="0"/>
        <w:shd w:val="clear" w:color="auto" w:fill="auto"/>
        <w:bidi w:val="0"/>
        <w:spacing w:before="0" w:line="240" w:lineRule="auto"/>
        <w:ind w:left="0" w:right="0" w:firstLine="140"/>
        <w:jc w:val="both"/>
      </w:pPr>
      <w:r>
        <w:rPr>
          <w:spacing w:val="0"/>
          <w:w w:val="100"/>
          <w:position w:val="0"/>
          <w:shd w:val="clear" w:color="auto" w:fill="auto"/>
          <w:lang w:val="ru-RU" w:eastAsia="ru-RU" w:bidi="ru-RU"/>
        </w:rPr>
        <w:t>ул. Октябрьской Революции, 14а, г. Смоленск, 214000</w:t>
      </w:r>
    </w:p>
    <w:p>
      <w:pPr>
        <w:pStyle w:val="Style2"/>
        <w:keepNext w:val="0"/>
        <w:keepLines w:val="0"/>
        <w:widowControl w:val="0"/>
        <w:shd w:val="clear" w:color="auto" w:fill="auto"/>
        <w:bidi w:val="0"/>
        <w:spacing w:before="0" w:line="240" w:lineRule="auto"/>
        <w:ind w:left="0" w:right="0" w:firstLine="600"/>
        <w:jc w:val="left"/>
      </w:pPr>
      <w:r>
        <w:rPr>
          <w:spacing w:val="0"/>
          <w:w w:val="100"/>
          <w:position w:val="0"/>
          <w:shd w:val="clear" w:color="auto" w:fill="auto"/>
          <w:lang w:val="ru-RU" w:eastAsia="ru-RU" w:bidi="ru-RU"/>
        </w:rPr>
        <w:t>тел.(4812) 38-62-22, факс (4812) 38-62-22</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е-таП: </w:t>
      </w:r>
      <w:r>
        <w:fldChar w:fldCharType="begin"/>
      </w:r>
      <w:r>
        <w:rPr/>
        <w:instrText> HYPERLINK "mailto:to67@fas.gov.ru" </w:instrText>
      </w:r>
      <w:r>
        <w:fldChar w:fldCharType="separate"/>
      </w:r>
      <w:r>
        <w:rPr>
          <w:spacing w:val="0"/>
          <w:w w:val="100"/>
          <w:position w:val="0"/>
          <w:shd w:val="clear" w:color="auto" w:fill="auto"/>
          <w:lang w:val="ru-RU" w:eastAsia="ru-RU" w:bidi="ru-RU"/>
        </w:rPr>
        <w:t>1о67@Га8.§оу.ги</w:t>
      </w:r>
      <w:r>
        <w:fldChar w:fldCharType="end"/>
      </w:r>
    </w:p>
    <w:p>
      <w:pPr>
        <w:pStyle w:val="Style11"/>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26.09.2024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ВШ/4027/2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40" w:line="266" w:lineRule="auto"/>
        <w:ind w:left="0" w:right="0" w:firstLine="0"/>
        <w:jc w:val="left"/>
        <w:rPr>
          <w:sz w:val="18"/>
          <w:szCs w:val="18"/>
        </w:rPr>
      </w:pPr>
      <w:r>
        <w:rPr>
          <w:color w:val="4B6293"/>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Решение</w:t>
      </w:r>
    </w:p>
    <w:p>
      <w:pPr>
        <w:pStyle w:val="Style17"/>
        <w:keepNext/>
        <w:keepLines/>
        <w:widowControl w:val="0"/>
        <w:shd w:val="clear" w:color="auto" w:fill="auto"/>
        <w:bidi w:val="0"/>
        <w:spacing w:before="0" w:after="0"/>
        <w:ind w:left="0" w:right="0" w:firstLine="0"/>
        <w:jc w:val="left"/>
      </w:pPr>
      <w:bookmarkStart w:id="2" w:name="bookmark2"/>
      <w:r>
        <w:rPr>
          <w:color w:val="000000"/>
          <w:spacing w:val="0"/>
          <w:w w:val="100"/>
          <w:position w:val="0"/>
          <w:sz w:val="24"/>
          <w:szCs w:val="24"/>
          <w:shd w:val="clear" w:color="auto" w:fill="auto"/>
          <w:lang w:val="ru-RU" w:eastAsia="ru-RU" w:bidi="ru-RU"/>
        </w:rPr>
        <w:t>Аукционная комиссия, Государственный заказчик:</w:t>
      </w:r>
      <w:bookmarkEnd w:id="2"/>
    </w:p>
    <w:p>
      <w:pPr>
        <w:pStyle w:val="Style1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24"/>
          <w:szCs w:val="24"/>
          <w:shd w:val="clear" w:color="auto" w:fill="auto"/>
          <w:lang w:val="ru-RU" w:eastAsia="ru-RU" w:bidi="ru-RU"/>
        </w:rPr>
        <w:t xml:space="preserve">ФКУ «Смоленская психиатрическая больница (стационар) специализированного типа с интенсивным наблюдением Министерства здравоохранения РФ» </w:t>
      </w:r>
      <w:r>
        <w:rPr>
          <w:color w:val="000000"/>
          <w:spacing w:val="0"/>
          <w:w w:val="100"/>
          <w:position w:val="0"/>
          <w:sz w:val="19"/>
          <w:szCs w:val="19"/>
          <w:shd w:val="clear" w:color="auto" w:fill="auto"/>
          <w:lang w:val="ru-RU" w:eastAsia="ru-RU" w:bidi="ru-RU"/>
        </w:rPr>
        <w:t>ул. Карла Маркса, г. Сычевка.</w:t>
      </w:r>
    </w:p>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Смоленская обл.. 215280</w:t>
      </w:r>
    </w:p>
    <w:p>
      <w:pPr>
        <w:pStyle w:val="Style8"/>
        <w:keepNext w:val="0"/>
        <w:keepLines w:val="0"/>
        <w:widowControl w:val="0"/>
        <w:shd w:val="clear" w:color="auto" w:fill="auto"/>
        <w:bidi w:val="0"/>
        <w:spacing w:before="0" w:line="240" w:lineRule="auto"/>
        <w:ind w:left="0" w:right="0" w:firstLine="0"/>
        <w:jc w:val="left"/>
      </w:pPr>
      <w:r>
        <w:fldChar w:fldCharType="begin"/>
      </w:r>
      <w:r>
        <w:rPr/>
        <w:instrText> HYPERLINK "mailto:spbstin@bk.ru" </w:instrText>
      </w:r>
      <w:r>
        <w:fldChar w:fldCharType="separate"/>
      </w:r>
      <w:r>
        <w:rPr>
          <w:color w:val="000000"/>
          <w:spacing w:val="0"/>
          <w:w w:val="100"/>
          <w:position w:val="0"/>
          <w:shd w:val="clear" w:color="auto" w:fill="auto"/>
          <w:lang w:val="ru-RU" w:eastAsia="ru-RU" w:bidi="ru-RU"/>
        </w:rPr>
        <w:t>8рЬ8Йп(@,Ьк.ги</w:t>
      </w:r>
      <w:r>
        <w:fldChar w:fldCharType="end"/>
      </w:r>
    </w:p>
    <w:p>
      <w:pPr>
        <w:pStyle w:val="Style17"/>
        <w:keepNext/>
        <w:keepLines/>
        <w:widowControl w:val="0"/>
        <w:shd w:val="clear" w:color="auto" w:fill="auto"/>
        <w:bidi w:val="0"/>
        <w:spacing w:before="0" w:after="0"/>
        <w:ind w:left="0" w:right="0" w:firstLine="0"/>
        <w:jc w:val="left"/>
      </w:pPr>
      <w:bookmarkStart w:id="4" w:name="bookmark4"/>
      <w:r>
        <w:rPr>
          <w:color w:val="000000"/>
          <w:spacing w:val="0"/>
          <w:w w:val="100"/>
          <w:position w:val="0"/>
          <w:sz w:val="24"/>
          <w:szCs w:val="24"/>
          <w:shd w:val="clear" w:color="auto" w:fill="auto"/>
          <w:lang w:val="ru-RU" w:eastAsia="ru-RU" w:bidi="ru-RU"/>
        </w:rPr>
        <w:t>Заявитель:</w:t>
      </w:r>
      <w:bookmarkEnd w:id="4"/>
    </w:p>
    <w:p>
      <w:pPr>
        <w:pStyle w:val="Style15"/>
        <w:keepNext w:val="0"/>
        <w:keepLines w:val="0"/>
        <w:widowControl w:val="0"/>
        <w:shd w:val="clear" w:color="auto" w:fill="auto"/>
        <w:bidi w:val="0"/>
        <w:spacing w:before="0" w:after="0" w:line="199" w:lineRule="auto"/>
        <w:ind w:left="0" w:right="0" w:firstLine="0"/>
        <w:jc w:val="left"/>
      </w:pPr>
      <w:r>
        <w:rPr>
          <w:color w:val="000000"/>
          <w:spacing w:val="0"/>
          <w:w w:val="100"/>
          <w:position w:val="0"/>
          <w:sz w:val="24"/>
          <w:szCs w:val="24"/>
          <w:shd w:val="clear" w:color="auto" w:fill="auto"/>
          <w:lang w:val="ru-RU" w:eastAsia="ru-RU" w:bidi="ru-RU"/>
        </w:rPr>
        <w:t>ИП Вахрушева Н.В.</w:t>
      </w:r>
    </w:p>
    <w:p>
      <w:pPr>
        <w:pStyle w:val="Style8"/>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 xml:space="preserve">ул. Юлиуса Фучика, д. 5, кв.32, г. Екатеринбург, Свердловская обл. </w:t>
      </w:r>
      <w:r>
        <w:fldChar w:fldCharType="begin"/>
      </w:r>
      <w:r>
        <w:rPr/>
        <w:instrText> HYPERLINK "mailto:info@ipvah.ru" </w:instrText>
      </w:r>
      <w:r>
        <w:fldChar w:fldCharType="separate"/>
      </w:r>
      <w:r>
        <w:rPr>
          <w:color w:val="000000"/>
          <w:spacing w:val="0"/>
          <w:w w:val="100"/>
          <w:position w:val="0"/>
          <w:shd w:val="clear" w:color="auto" w:fill="auto"/>
          <w:lang w:val="ru-RU" w:eastAsia="ru-RU" w:bidi="ru-RU"/>
        </w:rPr>
        <w:t>тГоЮргакги</w:t>
      </w:r>
      <w:r>
        <w:fldChar w:fldCharType="end"/>
      </w:r>
    </w:p>
    <w:p>
      <w:pPr>
        <w:pStyle w:val="Style17"/>
        <w:keepNext/>
        <w:keepLines/>
        <w:widowControl w:val="0"/>
        <w:shd w:val="clear" w:color="auto" w:fill="auto"/>
        <w:bidi w:val="0"/>
        <w:spacing w:before="0" w:after="0"/>
        <w:ind w:left="0" w:right="0" w:firstLine="0"/>
        <w:jc w:val="left"/>
      </w:pPr>
      <w:bookmarkStart w:id="6" w:name="bookmark6"/>
      <w:r>
        <w:rPr>
          <w:color w:val="000000"/>
          <w:spacing w:val="0"/>
          <w:w w:val="100"/>
          <w:position w:val="0"/>
          <w:sz w:val="24"/>
          <w:szCs w:val="24"/>
          <w:shd w:val="clear" w:color="auto" w:fill="auto"/>
          <w:lang w:val="ru-RU" w:eastAsia="ru-RU" w:bidi="ru-RU"/>
        </w:rPr>
        <w:t>Электронная площадка:</w:t>
      </w:r>
      <w:bookmarkEnd w:id="6"/>
    </w:p>
    <w:p>
      <w:pPr>
        <w:pStyle w:val="Style15"/>
        <w:keepNext w:val="0"/>
        <w:keepLines w:val="0"/>
        <w:widowControl w:val="0"/>
        <w:shd w:val="clear" w:color="auto" w:fill="auto"/>
        <w:bidi w:val="0"/>
        <w:spacing w:before="0" w:after="0" w:line="233" w:lineRule="auto"/>
        <w:ind w:left="0" w:right="0" w:firstLine="0"/>
        <w:jc w:val="left"/>
      </w:pPr>
      <w:r>
        <w:rPr>
          <w:color w:val="000000"/>
          <w:spacing w:val="0"/>
          <w:w w:val="100"/>
          <w:position w:val="0"/>
          <w:sz w:val="24"/>
          <w:szCs w:val="24"/>
          <w:shd w:val="clear" w:color="auto" w:fill="auto"/>
          <w:lang w:val="ru-RU" w:eastAsia="ru-RU" w:bidi="ru-RU"/>
        </w:rPr>
        <w:t>АО «Сбербанк-АСТ»</w:t>
      </w:r>
    </w:p>
    <w:p>
      <w:pPr>
        <w:pStyle w:val="Style8"/>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1412" w:right="700" w:bottom="1198" w:left="1140" w:header="984" w:footer="3" w:gutter="0"/>
          <w:pgNumType w:start="1"/>
          <w:cols w:num="2" w:space="720" w:equalWidth="0">
            <w:col w:w="4296" w:space="965"/>
            <w:col w:w="4800"/>
          </w:cols>
          <w:noEndnote/>
          <w:rtlGutter w:val="0"/>
          <w:docGrid w:linePitch="360"/>
        </w:sectPr>
      </w:pPr>
      <w:r>
        <w:rPr>
          <w:color w:val="000000"/>
          <w:spacing w:val="0"/>
          <w:w w:val="100"/>
          <w:position w:val="0"/>
          <w:shd w:val="clear" w:color="auto" w:fill="auto"/>
          <w:lang w:val="ru-RU" w:eastAsia="ru-RU" w:bidi="ru-RU"/>
        </w:rPr>
        <w:t xml:space="preserve">ко </w:t>
      </w:r>
      <w:r>
        <w:rPr>
          <w:i/>
          <w:iCs/>
          <w:color w:val="000000"/>
          <w:spacing w:val="0"/>
          <w:w w:val="100"/>
          <w:position w:val="0"/>
          <w:shd w:val="clear" w:color="auto" w:fill="auto"/>
          <w:lang w:val="ru-RU" w:eastAsia="ru-RU" w:bidi="ru-RU"/>
        </w:rPr>
        <w:t>а</w:t>
      </w:r>
      <w:r>
        <w:rPr>
          <w:color w:val="000000"/>
          <w:spacing w:val="0"/>
          <w:w w:val="100"/>
          <w:position w:val="0"/>
          <w:shd w:val="clear" w:color="auto" w:fill="auto"/>
          <w:lang w:val="ru-RU" w:eastAsia="ru-RU" w:bidi="ru-RU"/>
        </w:rPr>
        <w:t xml:space="preserve"> 8ЬегЬапк-а81.ги</w:t>
      </w:r>
    </w:p>
    <w:p>
      <w:pPr>
        <w:widowControl w:val="0"/>
        <w:spacing w:line="240" w:lineRule="exact"/>
        <w:rPr>
          <w:sz w:val="19"/>
          <w:szCs w:val="19"/>
        </w:rPr>
      </w:pPr>
    </w:p>
    <w:p>
      <w:pPr>
        <w:widowControl w:val="0"/>
        <w:spacing w:line="240" w:lineRule="exact"/>
        <w:rPr>
          <w:sz w:val="19"/>
          <w:szCs w:val="19"/>
        </w:rPr>
      </w:pPr>
    </w:p>
    <w:p>
      <w:pPr>
        <w:widowControl w:val="0"/>
        <w:spacing w:before="14" w:after="1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12" w:right="0" w:bottom="1198" w:left="0" w:header="0" w:footer="3" w:gutter="0"/>
          <w:cols w:space="720"/>
          <w:noEndnote/>
          <w:rtlGutter w:val="0"/>
          <w:docGrid w:linePitch="360"/>
        </w:sectPr>
      </w:pPr>
    </w:p>
    <w:p>
      <w:pPr>
        <w:pStyle w:val="Style17"/>
        <w:keepNext/>
        <w:keepLines/>
        <w:widowControl w:val="0"/>
        <w:shd w:val="clear" w:color="auto" w:fill="auto"/>
        <w:bidi w:val="0"/>
        <w:spacing w:before="0" w:after="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РЕШЕНИЕ</w:t>
      </w:r>
      <w:bookmarkEnd w:id="8"/>
    </w:p>
    <w:p>
      <w:pPr>
        <w:pStyle w:val="Style15"/>
        <w:keepNext w:val="0"/>
        <w:keepLines w:val="0"/>
        <w:widowControl w:val="0"/>
        <w:shd w:val="clear" w:color="auto" w:fill="auto"/>
        <w:bidi w:val="0"/>
        <w:spacing w:before="0" w:after="280" w:line="240" w:lineRule="auto"/>
        <w:ind w:left="0" w:right="0" w:firstLine="0"/>
        <w:jc w:val="center"/>
      </w:pPr>
      <w:r>
        <w:rPr>
          <w:color w:val="000000"/>
          <w:spacing w:val="0"/>
          <w:w w:val="100"/>
          <w:position w:val="0"/>
          <w:sz w:val="24"/>
          <w:szCs w:val="24"/>
          <w:shd w:val="clear" w:color="auto" w:fill="auto"/>
          <w:lang w:val="ru-RU" w:eastAsia="ru-RU" w:bidi="ru-RU"/>
        </w:rPr>
        <w:t>по делу № 067/06/48-621/2024 о нарушении</w:t>
        <w:br/>
        <w:t>законодательства Российской Федерации о контрактной системе</w:t>
      </w:r>
    </w:p>
    <w:p>
      <w:pPr>
        <w:pStyle w:val="Style15"/>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38100" distR="38100" simplePos="0" relativeHeight="125829378" behindDoc="0" locked="0" layoutInCell="1" allowOverlap="1">
                <wp:simplePos x="0" y="0"/>
                <wp:positionH relativeFrom="page">
                  <wp:posOffset>6115685</wp:posOffset>
                </wp:positionH>
                <wp:positionV relativeFrom="paragraph">
                  <wp:posOffset>12700</wp:posOffset>
                </wp:positionV>
                <wp:extent cx="792480" cy="189230"/>
                <wp:wrapSquare wrapText="left"/>
                <wp:docPr id="3" name="Shape 3"/>
                <a:graphic xmlns:a="http://schemas.openxmlformats.org/drawingml/2006/main">
                  <a:graphicData uri="http://schemas.microsoft.com/office/word/2010/wordprocessingShape">
                    <wps:wsp>
                      <wps:cNvSpPr txBox="1"/>
                      <wps:spPr>
                        <a:xfrm>
                          <a:ext cx="792480" cy="1892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wps:txbx>
                      <wps:bodyPr wrap="none" lIns="0" tIns="0" rIns="0" bIns="0">
                        <a:noAutoFit/>
                      </wps:bodyPr>
                    </wps:wsp>
                  </a:graphicData>
                </a:graphic>
              </wp:anchor>
            </w:drawing>
          </mc:Choice>
          <mc:Fallback>
            <w:pict>
              <v:shape id="_x0000_s1029" type="#_x0000_t202" style="position:absolute;margin-left:481.55000000000001pt;margin-top:1.pt;width:62.399999999999999pt;height:14.9pt;z-index:-125829375;mso-wrap-distance-left:3.pt;mso-wrap-distance-right:3.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Смоленск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23 сентября 2024 года</w:t>
      </w:r>
    </w:p>
    <w:p>
      <w:pPr>
        <w:pStyle w:val="Style15"/>
        <w:keepNext w:val="0"/>
        <w:keepLines w:val="0"/>
        <w:widowControl w:val="0"/>
        <w:shd w:val="clear" w:color="auto" w:fill="auto"/>
        <w:bidi w:val="0"/>
        <w:spacing w:before="0" w:after="120" w:line="240" w:lineRule="auto"/>
        <w:ind w:left="0" w:right="0" w:firstLine="720"/>
        <w:jc w:val="left"/>
      </w:pPr>
      <w:r>
        <w:rPr>
          <w:color w:val="000000"/>
          <w:spacing w:val="0"/>
          <w:w w:val="100"/>
          <w:position w:val="0"/>
          <w:sz w:val="24"/>
          <w:szCs w:val="24"/>
          <w:shd w:val="clear" w:color="auto" w:fill="auto"/>
          <w:lang w:val="ru-RU" w:eastAsia="ru-RU" w:bidi="ru-RU"/>
        </w:rPr>
        <w:t>Комиссия Смоленского УФАС России по контролю в сфере закупок (далее - Комиссия) в следующем составе:</w:t>
      </w:r>
    </w:p>
    <w:tbl>
      <w:tblPr>
        <w:tblOverlap w:val="never"/>
        <w:jc w:val="center"/>
        <w:tblLayout w:type="fixed"/>
      </w:tblPr>
      <w:tblGrid>
        <w:gridCol w:w="3686"/>
        <w:gridCol w:w="6547"/>
      </w:tblGrid>
      <w:tr>
        <w:trPr>
          <w:trHeight w:val="1258" w:hRule="exact"/>
        </w:trPr>
        <w:tc>
          <w:tcPr>
            <w:tcBorders/>
            <w:shd w:val="clear" w:color="auto" w:fill="auto"/>
            <w:vAlign w:val="top"/>
          </w:tcPr>
          <w:p>
            <w:pPr>
              <w:pStyle w:val="Style21"/>
              <w:keepNext w:val="0"/>
              <w:keepLines w:val="0"/>
              <w:widowControl w:val="0"/>
              <w:shd w:val="clear" w:color="auto" w:fill="auto"/>
              <w:bidi w:val="0"/>
              <w:spacing w:before="120" w:after="0" w:line="240" w:lineRule="auto"/>
              <w:ind w:left="0" w:right="0" w:firstLine="0"/>
              <w:jc w:val="left"/>
            </w:pPr>
            <w:r>
              <w:rPr>
                <w:color w:val="000000"/>
                <w:spacing w:val="0"/>
                <w:w w:val="100"/>
                <w:position w:val="0"/>
                <w:sz w:val="24"/>
                <w:szCs w:val="24"/>
                <w:shd w:val="clear" w:color="auto" w:fill="auto"/>
                <w:lang w:val="ru-RU" w:eastAsia="ru-RU" w:bidi="ru-RU"/>
              </w:rPr>
              <w:t>Заместитель</w:t>
            </w:r>
          </w:p>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председателя Комиссии:</w:t>
            </w:r>
          </w:p>
        </w:tc>
        <w:tc>
          <w:tcPr>
            <w:tcBorders/>
            <w:shd w:val="clear" w:color="auto" w:fill="auto"/>
            <w:vAlign w:val="bottom"/>
          </w:tcPr>
          <w:p>
            <w:pPr>
              <w:pStyle w:val="Style21"/>
              <w:keepNext w:val="0"/>
              <w:keepLines w:val="0"/>
              <w:widowControl w:val="0"/>
              <w:shd w:val="clear" w:color="auto" w:fill="auto"/>
              <w:bidi w:val="0"/>
              <w:spacing w:before="0" w:after="0" w:line="240" w:lineRule="auto"/>
              <w:ind w:left="1920" w:right="0" w:firstLine="20"/>
              <w:jc w:val="both"/>
            </w:pPr>
            <w:r>
              <w:rPr>
                <w:color w:val="000000"/>
                <w:spacing w:val="0"/>
                <w:w w:val="100"/>
                <w:position w:val="0"/>
                <w:sz w:val="24"/>
                <w:szCs w:val="24"/>
                <w:shd w:val="clear" w:color="auto" w:fill="auto"/>
                <w:lang w:val="ru-RU" w:eastAsia="ru-RU" w:bidi="ru-RU"/>
              </w:rPr>
              <w:t>- начальник отдела контроля закупок и антимонопольного контроля органов власти Смоленского УФАС России</w:t>
            </w:r>
          </w:p>
        </w:tc>
      </w:tr>
      <w:tr>
        <w:trPr>
          <w:trHeight w:val="2208" w:hRule="exact"/>
        </w:trPr>
        <w:tc>
          <w:tcPr>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1"/>
              <w:keepNext w:val="0"/>
              <w:keepLines w:val="0"/>
              <w:widowControl w:val="0"/>
              <w:numPr>
                <w:ilvl w:val="0"/>
                <w:numId w:val="1"/>
              </w:numPr>
              <w:shd w:val="clear" w:color="auto" w:fill="auto"/>
              <w:tabs>
                <w:tab w:pos="2213" w:val="left"/>
              </w:tabs>
              <w:bidi w:val="0"/>
              <w:spacing w:before="0" w:after="0" w:line="240" w:lineRule="auto"/>
              <w:ind w:left="1920" w:right="0" w:firstLine="2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p>
            <w:pPr>
              <w:pStyle w:val="Style21"/>
              <w:keepNext w:val="0"/>
              <w:keepLines w:val="0"/>
              <w:widowControl w:val="0"/>
              <w:numPr>
                <w:ilvl w:val="0"/>
                <w:numId w:val="1"/>
              </w:numPr>
              <w:shd w:val="clear" w:color="auto" w:fill="auto"/>
              <w:tabs>
                <w:tab w:pos="2213" w:val="left"/>
              </w:tabs>
              <w:bidi w:val="0"/>
              <w:spacing w:before="0" w:after="0" w:line="240" w:lineRule="auto"/>
              <w:ind w:left="1920" w:right="0" w:firstLine="20"/>
              <w:jc w:val="both"/>
            </w:pPr>
            <w:r>
              <w:rPr>
                <w:color w:val="000000"/>
                <w:spacing w:val="0"/>
                <w:w w:val="100"/>
                <w:position w:val="0"/>
                <w:sz w:val="24"/>
                <w:szCs w:val="24"/>
                <w:shd w:val="clear" w:color="auto" w:fill="auto"/>
                <w:lang w:val="ru-RU" w:eastAsia="ru-RU" w:bidi="ru-RU"/>
              </w:rPr>
              <w:t>специалист-эксперт отдела контроля закупок и антимонопольного контроля органов власти Смоленского УФАС России,</w:t>
            </w:r>
          </w:p>
        </w:tc>
      </w:tr>
    </w:tbl>
    <w:p>
      <w:pPr>
        <w:widowControl w:val="0"/>
        <w:spacing w:after="119" w:line="1" w:lineRule="exact"/>
      </w:pP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при личном участии в рассмотрении жалобы:</w:t>
      </w:r>
    </w:p>
    <w:p>
      <w:pPr>
        <w:pStyle w:val="Style15"/>
        <w:keepNext w:val="0"/>
        <w:keepLines w:val="0"/>
        <w:widowControl w:val="0"/>
        <w:numPr>
          <w:ilvl w:val="0"/>
          <w:numId w:val="3"/>
        </w:numPr>
        <w:shd w:val="clear" w:color="auto" w:fill="auto"/>
        <w:tabs>
          <w:tab w:pos="982" w:val="left"/>
        </w:tabs>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представителя заказчика: - Матвеева А.М. (доверенность №б/н от 13.05.2024);</w:t>
      </w:r>
    </w:p>
    <w:p>
      <w:pPr>
        <w:pStyle w:val="Style15"/>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при участии в дистанционном режиме рассмотрения жалобы:</w:t>
      </w:r>
    </w:p>
    <w:p>
      <w:pPr>
        <w:pStyle w:val="Style15"/>
        <w:keepNext w:val="0"/>
        <w:keepLines w:val="0"/>
        <w:widowControl w:val="0"/>
        <w:numPr>
          <w:ilvl w:val="0"/>
          <w:numId w:val="3"/>
        </w:numPr>
        <w:shd w:val="clear" w:color="auto" w:fill="auto"/>
        <w:tabs>
          <w:tab w:pos="982" w:val="left"/>
        </w:tabs>
        <w:bidi w:val="0"/>
        <w:spacing w:before="0" w:after="280" w:line="240" w:lineRule="auto"/>
        <w:ind w:left="0" w:right="0" w:firstLine="720"/>
        <w:jc w:val="left"/>
      </w:pPr>
      <w:r>
        <w:rPr>
          <w:color w:val="000000"/>
          <w:spacing w:val="0"/>
          <w:w w:val="100"/>
          <w:position w:val="0"/>
          <w:sz w:val="24"/>
          <w:szCs w:val="24"/>
          <w:shd w:val="clear" w:color="auto" w:fill="auto"/>
          <w:lang w:val="ru-RU" w:eastAsia="ru-RU" w:bidi="ru-RU"/>
        </w:rPr>
        <w:t>представителя заявителя: Намажапы В.С. (доверенность № 66 АА 7510731 от 30.08.2022),</w:t>
      </w:r>
    </w:p>
    <w:p>
      <w:pPr>
        <w:pStyle w:val="Style23"/>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1412" w:right="541" w:bottom="1198" w:left="1097" w:header="0" w:footer="3" w:gutter="0"/>
          <w:cols w:space="720"/>
          <w:noEndnote/>
          <w:rtlGutter w:val="0"/>
          <w:docGrid w:linePitch="360"/>
        </w:sectPr>
      </w:pPr>
      <w:bookmarkStart w:id="10" w:name="bookmark10"/>
      <w:r>
        <w:rPr>
          <w:color w:val="000000"/>
          <w:spacing w:val="0"/>
          <w:w w:val="100"/>
          <w:position w:val="0"/>
          <w:shd w:val="clear" w:color="auto" w:fill="auto"/>
          <w:lang w:val="ru-RU" w:eastAsia="ru-RU" w:bidi="ru-RU"/>
        </w:rPr>
        <w:t>1111111111111111111111II</w:t>
      </w:r>
      <w:bookmarkEnd w:id="10"/>
    </w:p>
    <w:p>
      <w:pPr>
        <w:pStyle w:val="Style15"/>
        <w:keepNext w:val="0"/>
        <w:keepLines w:val="0"/>
        <w:widowControl w:val="0"/>
        <w:shd w:val="clear" w:color="auto" w:fill="auto"/>
        <w:bidi w:val="0"/>
        <w:spacing w:before="0" w:after="260" w:line="240" w:lineRule="auto"/>
        <w:ind w:left="0" w:right="0" w:firstLine="700"/>
        <w:jc w:val="both"/>
      </w:pPr>
      <w:r>
        <w:rPr>
          <w:color w:val="000000"/>
          <w:spacing w:val="0"/>
          <w:w w:val="100"/>
          <w:position w:val="0"/>
          <w:sz w:val="24"/>
          <w:szCs w:val="24"/>
          <w:shd w:val="clear" w:color="auto" w:fill="auto"/>
          <w:lang w:val="ru-RU" w:eastAsia="ru-RU" w:bidi="ru-RU"/>
        </w:rPr>
        <w:t>рассмотрев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приказом ФАС России от 11.02.2014 № 75/14 и приказом Смоленского УФАС России от 20.08.2024 №117/24, жалобу ИП Вахрушевой Н.В. (далее также - Заявитель) и проведя внеплановую проверку,</w:t>
      </w:r>
    </w:p>
    <w:p>
      <w:pPr>
        <w:pStyle w:val="Style15"/>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Смоленское УФАС России 16.09.2024 поступила жалоба ИП Вахрушевой Н.В. на действия закупочной комиссии, государственного заказчика - Федерального казенного учреждения «Смоленская психиатрическая больница (стационар) специализированного типа с интенсивным наблюдением» Министерства здравоохранения Российской Федерации» при проведении электронного аукциона: «Поставка перчаток медицинских» (извещение № 0363100008224000175), которые выразились в незаконном отклонении заявки Заявителя от участия в закупке в связи с не предоставлением регистрационного удостоверения на предлагаемый к поставке товар.</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Государственным заказчиком по данному электронному аукциону является - ФКУ «Смоленская психиатрическая больница (стационар) специализированного типа с интенсивным наблюдением Министерства здравоохранения РФ» (далее - Заказчик).</w:t>
      </w:r>
    </w:p>
    <w:p>
      <w:pPr>
        <w:pStyle w:val="Style15"/>
        <w:keepNext w:val="0"/>
        <w:keepLines w:val="0"/>
        <w:widowControl w:val="0"/>
        <w:shd w:val="clear" w:color="auto" w:fill="auto"/>
        <w:bidi w:val="0"/>
        <w:spacing w:before="0" w:after="260" w:line="240" w:lineRule="auto"/>
        <w:ind w:left="0" w:right="0" w:firstLine="700"/>
        <w:jc w:val="both"/>
      </w:pPr>
      <w:r>
        <w:rPr>
          <w:color w:val="000000"/>
          <w:spacing w:val="0"/>
          <w:w w:val="100"/>
          <w:position w:val="0"/>
          <w:sz w:val="24"/>
          <w:szCs w:val="24"/>
          <w:shd w:val="clear" w:color="auto" w:fill="auto"/>
          <w:lang w:val="ru-RU" w:eastAsia="ru-RU" w:bidi="ru-RU"/>
        </w:rPr>
        <w:t>Заказчик представил письменные возражения по существу жалобы, с доводами жалобы Заявителя не согласился.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результате изучения представленных документов, рассмотрения доводов жалобы, пояснений сторон, Комиссия установила следующее.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28.08.2024 Заказчиком на официальном сайте единой информационной системы в сфере закупок </w:t>
      </w:r>
      <w:r>
        <w:fldChar w:fldCharType="begin"/>
      </w:r>
      <w:r>
        <w:rPr/>
        <w:instrText> HYPERLINK "http://www.zakupki.gov.ru" </w:instrText>
      </w:r>
      <w:r>
        <w:fldChar w:fldCharType="separate"/>
      </w:r>
      <w:r>
        <w:rPr>
          <w:color w:val="000000"/>
          <w:spacing w:val="0"/>
          <w:w w:val="100"/>
          <w:position w:val="0"/>
          <w:sz w:val="24"/>
          <w:szCs w:val="24"/>
          <w:shd w:val="clear" w:color="auto" w:fill="auto"/>
          <w:lang w:val="ru-RU" w:eastAsia="ru-RU" w:bidi="ru-RU"/>
        </w:rPr>
        <w:t>тутуту.хакиркгдоу.ш</w:t>
      </w:r>
      <w:r>
        <w:fldChar w:fldCharType="end"/>
      </w:r>
      <w:r>
        <w:rPr>
          <w:color w:val="000000"/>
          <w:spacing w:val="0"/>
          <w:w w:val="100"/>
          <w:position w:val="0"/>
          <w:sz w:val="24"/>
          <w:szCs w:val="24"/>
          <w:shd w:val="clear" w:color="auto" w:fill="auto"/>
          <w:lang w:val="ru-RU" w:eastAsia="ru-RU" w:bidi="ru-RU"/>
        </w:rPr>
        <w:t xml:space="preserve"> размещено Извещение №0363100008224000175 о проведении электронного аукциона.</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Общая начальная (максимальная) цена контракта - 386 000,00 руб.</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протоколом подачи ценовых предложений от 09.09.2024 №ЦПА1 на участие в электронном аукционе заявки подали 4 (четыре) участника закупки, которыми были сделаны следующие ценовые предложения:</w:t>
      </w:r>
    </w:p>
    <w:p>
      <w:pPr>
        <w:pStyle w:val="Style15"/>
        <w:keepNext w:val="0"/>
        <w:keepLines w:val="0"/>
        <w:widowControl w:val="0"/>
        <w:numPr>
          <w:ilvl w:val="0"/>
          <w:numId w:val="5"/>
        </w:numPr>
        <w:shd w:val="clear" w:color="auto" w:fill="auto"/>
        <w:tabs>
          <w:tab w:pos="94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5 - 357 270,00 руб. (снижение составило 7,44%);</w:t>
      </w:r>
    </w:p>
    <w:p>
      <w:pPr>
        <w:pStyle w:val="Style15"/>
        <w:keepNext w:val="0"/>
        <w:keepLines w:val="0"/>
        <w:widowControl w:val="0"/>
        <w:numPr>
          <w:ilvl w:val="0"/>
          <w:numId w:val="5"/>
        </w:numPr>
        <w:shd w:val="clear" w:color="auto" w:fill="auto"/>
        <w:tabs>
          <w:tab w:pos="164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20 - 359 200,00 руб.;</w:t>
      </w:r>
    </w:p>
    <w:p>
      <w:pPr>
        <w:pStyle w:val="Style15"/>
        <w:keepNext w:val="0"/>
        <w:keepLines w:val="0"/>
        <w:widowControl w:val="0"/>
        <w:numPr>
          <w:ilvl w:val="0"/>
          <w:numId w:val="5"/>
        </w:numPr>
        <w:shd w:val="clear" w:color="auto" w:fill="auto"/>
        <w:tabs>
          <w:tab w:pos="164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39 - 386 000,00 руб.;</w:t>
      </w:r>
    </w:p>
    <w:p>
      <w:pPr>
        <w:pStyle w:val="Style15"/>
        <w:keepNext w:val="0"/>
        <w:keepLines w:val="0"/>
        <w:widowControl w:val="0"/>
        <w:numPr>
          <w:ilvl w:val="0"/>
          <w:numId w:val="5"/>
        </w:numPr>
        <w:shd w:val="clear" w:color="auto" w:fill="auto"/>
        <w:tabs>
          <w:tab w:pos="1641"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участником с идентификационным номером заявки 31 - 386 000,00 руб.</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10.09.2024 №ИЭА1 участники закупки с идентификационными номерами 5, 20 (ИП Вахрушева Н.В.), 39 отклонены, заявка участника закупки с идентификационным номером 31 (ценовое предложение - 357 270,00 руб.; снижение составило 7,44%) была признана соответствующей требованиям Извещения и данный участник получил право заключить контаркт.</w:t>
      </w:r>
    </w:p>
    <w:p>
      <w:pPr>
        <w:pStyle w:val="Style15"/>
        <w:keepNext w:val="0"/>
        <w:keepLines w:val="0"/>
        <w:widowControl w:val="0"/>
        <w:shd w:val="clear" w:color="auto" w:fill="auto"/>
        <w:bidi w:val="0"/>
        <w:spacing w:before="0" w:after="260" w:line="302" w:lineRule="auto"/>
        <w:ind w:left="0" w:right="0" w:firstLine="700"/>
        <w:jc w:val="both"/>
        <w:sectPr>
          <w:headerReference w:type="default" r:id="rId6"/>
          <w:footerReference w:type="default" r:id="rId7"/>
          <w:footnotePr>
            <w:pos w:val="pageBottom"/>
            <w:numFmt w:val="decimal"/>
            <w:numRestart w:val="continuous"/>
          </w:footnotePr>
          <w:pgSz w:w="11900" w:h="16840"/>
          <w:pgMar w:top="1690" w:right="522" w:bottom="764" w:left="1106" w:header="0" w:footer="336" w:gutter="0"/>
          <w:cols w:space="720"/>
          <w:noEndnote/>
          <w:rtlGutter w:val="0"/>
          <w:docGrid w:linePitch="360"/>
        </w:sectPr>
      </w:pPr>
      <w:r>
        <w:rPr>
          <w:color w:val="000000"/>
          <w:spacing w:val="0"/>
          <w:w w:val="100"/>
          <w:position w:val="0"/>
          <w:sz w:val="24"/>
          <w:szCs w:val="24"/>
          <w:shd w:val="clear" w:color="auto" w:fill="auto"/>
          <w:lang w:val="ru-RU" w:eastAsia="ru-RU" w:bidi="ru-RU"/>
        </w:rPr>
        <w:t xml:space="preserve">В частности, участнику закупки с идентификационным номером 20 (ИП Вахрушева Н.В.) отказано в допуске в связи со следующим: </w:t>
      </w:r>
      <w:r>
        <w:rPr>
          <w:i/>
          <w:iCs/>
          <w:color w:val="000000"/>
          <w:spacing w:val="0"/>
          <w:w w:val="100"/>
          <w:position w:val="0"/>
          <w:sz w:val="24"/>
          <w:szCs w:val="24"/>
          <w:shd w:val="clear" w:color="auto" w:fill="auto"/>
          <w:lang w:val="ru-RU" w:eastAsia="ru-RU" w:bidi="ru-RU"/>
        </w:rPr>
        <w:t xml:space="preserve">участник закупки предлагает к поставке товар «Перчатки смотровые/процедурные нитриловые, неопудренные, стерильные размер М, Г,», однако </w:t>
      </w:r>
      <w:r>
        <w:rPr>
          <w:color w:val="000000"/>
          <w:spacing w:val="0"/>
          <w:w w:val="100"/>
          <w:position w:val="0"/>
          <w:sz w:val="24"/>
          <w:szCs w:val="24"/>
          <w:shd w:val="clear" w:color="auto" w:fill="auto"/>
          <w:lang w:val="ru-RU" w:eastAsia="ru-RU" w:bidi="ru-RU"/>
        </w:rPr>
        <w:t>2024-4326</w:t>
      </w:r>
    </w:p>
    <w:p>
      <w:pPr>
        <w:pStyle w:val="Style15"/>
        <w:keepNext w:val="0"/>
        <w:keepLines w:val="0"/>
        <w:widowControl w:val="0"/>
        <w:shd w:val="clear" w:color="auto" w:fill="auto"/>
        <w:bidi w:val="0"/>
        <w:spacing w:before="0" w:after="260" w:line="240" w:lineRule="auto"/>
        <w:ind w:left="0" w:right="0" w:firstLine="0"/>
        <w:jc w:val="both"/>
      </w:pPr>
      <w:r>
        <w:rPr>
          <w:i/>
          <w:iCs/>
          <w:color w:val="000000"/>
          <w:spacing w:val="0"/>
          <w:w w:val="100"/>
          <w:position w:val="0"/>
          <w:sz w:val="24"/>
          <w:szCs w:val="24"/>
          <w:shd w:val="clear" w:color="auto" w:fill="auto"/>
          <w:lang w:val="ru-RU" w:eastAsia="ru-RU" w:bidi="ru-RU"/>
        </w:rPr>
        <w:t>в составе заявки участником размещено регистрационное удостоверение № ФСР 2011/12244, согласно приложения к которому предлагается к поставке товар «Перчатки смотровые стерильные из натурального и синтетического латекса: Х8, 8, М, Р, ХР, изготовитель ООО «РусМедУпак»», которые не соответствуют требованиям извещения и описания объекта закупки Перчатки смотровые/процедурные нитриловые, неопудренные, стерильные размер М, Р»)».</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42 Закона извещение об осуществлении закупки, если иное не предусмотрено Законом, должно содержать следующие электронные документы:</w:t>
      </w:r>
    </w:p>
    <w:p>
      <w:pPr>
        <w:pStyle w:val="Style15"/>
        <w:keepNext w:val="0"/>
        <w:keepLines w:val="0"/>
        <w:widowControl w:val="0"/>
        <w:numPr>
          <w:ilvl w:val="0"/>
          <w:numId w:val="5"/>
        </w:numPr>
        <w:shd w:val="clear" w:color="auto" w:fill="auto"/>
        <w:tabs>
          <w:tab w:pos="16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в соответствии со статьей 33 Закона (пункт 1);</w:t>
      </w:r>
    </w:p>
    <w:p>
      <w:pPr>
        <w:pStyle w:val="Style15"/>
        <w:keepNext w:val="0"/>
        <w:keepLines w:val="0"/>
        <w:widowControl w:val="0"/>
        <w:numPr>
          <w:ilvl w:val="0"/>
          <w:numId w:val="5"/>
        </w:numPr>
        <w:shd w:val="clear" w:color="auto" w:fill="auto"/>
        <w:tabs>
          <w:tab w:pos="98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требования к содержанию, составу заявки на участие в закупке в соответствии с Законом и инструкцию по ее заполнению. При этом не допускается установление требований, влекущих за собой ограничение количества участников закупки (пункт 3).</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2 статьи 33 Закона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2 части 1 статьи 43 Закона для участия в конкурентном способе заявка на участие в закупке, если иное не предусмотрено Законом, должна содержать предложение участника закупки в отношении объекта закупки:</w:t>
      </w:r>
    </w:p>
    <w:p>
      <w:pPr>
        <w:pStyle w:val="Style15"/>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 учетом положений части 2 данной статьи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(абзац «а»);</w:t>
      </w:r>
    </w:p>
    <w:p>
      <w:pPr>
        <w:pStyle w:val="Style15"/>
        <w:keepNext w:val="0"/>
        <w:keepLines w:val="0"/>
        <w:widowControl w:val="0"/>
        <w:numPr>
          <w:ilvl w:val="0"/>
          <w:numId w:val="7"/>
        </w:numPr>
        <w:shd w:val="clear" w:color="auto" w:fill="auto"/>
        <w:tabs>
          <w:tab w:pos="103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данной статьи (абзац «б»);</w:t>
      </w:r>
    </w:p>
    <w:p>
      <w:pPr>
        <w:pStyle w:val="Style15"/>
        <w:keepNext w:val="0"/>
        <w:keepLines w:val="0"/>
        <w:widowControl w:val="0"/>
        <w:numPr>
          <w:ilvl w:val="0"/>
          <w:numId w:val="7"/>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 (абзац «в»),</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14 Закона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частью 2 статьи 14 Закона федеральный орган исполнительной власти по </w:t>
      </w:r>
      <w:r>
        <w:rPr>
          <w:color w:val="000000"/>
          <w:spacing w:val="0"/>
          <w:w w:val="100"/>
          <w:position w:val="0"/>
          <w:sz w:val="24"/>
          <w:szCs w:val="24"/>
          <w:shd w:val="clear" w:color="auto" w:fill="auto"/>
          <w:lang w:val="ru-RU" w:eastAsia="ru-RU" w:bidi="ru-RU"/>
        </w:rPr>
        <w:t>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части 1 данной статьи, и условия применения национального режима в единой информационной системе.</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3 статьи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Постановлением Правительства РФ от 30.04.2020 № 617 установлены ограничения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утверждены приказом Минфина России от 04.06.2018 № 126н (далее - Приказ №126н).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5 статьи 49 Закона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9"/>
        </w:numPr>
        <w:shd w:val="clear" w:color="auto" w:fill="auto"/>
        <w:tabs>
          <w:tab w:pos="102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 по осуществлению закупок:</w:t>
      </w:r>
    </w:p>
    <w:p>
      <w:pPr>
        <w:pStyle w:val="Style15"/>
        <w:keepNext w:val="0"/>
        <w:keepLines w:val="0"/>
        <w:widowControl w:val="0"/>
        <w:numPr>
          <w:ilvl w:val="0"/>
          <w:numId w:val="11"/>
        </w:numPr>
        <w:shd w:val="clear" w:color="auto" w:fill="auto"/>
        <w:tabs>
          <w:tab w:pos="10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данной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w:t>
      </w:r>
    </w:p>
    <w:p>
      <w:pPr>
        <w:pStyle w:val="Style15"/>
        <w:keepNext w:val="0"/>
        <w:keepLines w:val="0"/>
        <w:widowControl w:val="0"/>
        <w:numPr>
          <w:ilvl w:val="0"/>
          <w:numId w:val="11"/>
        </w:numPr>
        <w:shd w:val="clear" w:color="auto" w:fill="auto"/>
        <w:tabs>
          <w:tab w:pos="104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данного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данной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данной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Заявке на участие в закупке победителя определения </w:t>
      </w:r>
      <w:r>
        <w:rPr>
          <w:color w:val="000000"/>
          <w:spacing w:val="0"/>
          <w:w w:val="100"/>
          <w:position w:val="0"/>
          <w:sz w:val="24"/>
          <w:szCs w:val="24"/>
          <w:shd w:val="clear" w:color="auto" w:fill="auto"/>
          <w:lang w:val="ru-RU" w:eastAsia="ru-RU" w:bidi="ru-RU"/>
        </w:rPr>
        <w:t>поставщика (подрядчика, исполнителя) присваивается первый номер;</w:t>
      </w:r>
    </w:p>
    <w:p>
      <w:pPr>
        <w:pStyle w:val="Style15"/>
        <w:keepNext w:val="0"/>
        <w:keepLines w:val="0"/>
        <w:widowControl w:val="0"/>
        <w:numPr>
          <w:ilvl w:val="0"/>
          <w:numId w:val="9"/>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12 статьи 48 Закона при рассмотрении вторых частей заявок на участие в закупке соответствующая заявка подлежит отклонению в случаях:</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в заявке на участие в закупке информации и документов, предусмотренных извещением об осуществлении закупки в соответствии с Законом (за исключением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пунктами 2 и 3 части 6 статьи 43 Закона, несоответствия таких информации и документов требованиям, установленным в извещении об осуществлении закупки;</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Закона, требованиям, установленным в извещении об осуществлении закупки в соответствии с частями 1.1, 2 и 2.1 (при наличии таких требований) статьи 31 Закона;</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статьей 14 Закона (за исключением случаев непредставления информации и документов, предусмотренных пунктом 5 части 1 статьи 43 Закона);</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пунктом 5 части 1 статьи 43 Закона, если такие документы предусмотрены нормативными правовыми актами, принятыми в соответствии с частью 3 статьи 14 Закона (в случае установления в соответствии со статьей 14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5"/>
        <w:keepNext w:val="0"/>
        <w:keepLines w:val="0"/>
        <w:widowControl w:val="0"/>
        <w:numPr>
          <w:ilvl w:val="0"/>
          <w:numId w:val="13"/>
        </w:numPr>
        <w:shd w:val="clear" w:color="auto" w:fill="auto"/>
        <w:tabs>
          <w:tab w:pos="178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предусмотренных частью 6 статьи 45 Закона;</w:t>
      </w:r>
    </w:p>
    <w:p>
      <w:pPr>
        <w:pStyle w:val="Style15"/>
        <w:keepNext w:val="0"/>
        <w:keepLines w:val="0"/>
        <w:widowControl w:val="0"/>
        <w:numPr>
          <w:ilvl w:val="0"/>
          <w:numId w:val="13"/>
        </w:numPr>
        <w:shd w:val="clear" w:color="auto" w:fill="auto"/>
        <w:tabs>
          <w:tab w:pos="178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15"/>
        <w:keepNext w:val="0"/>
        <w:keepLines w:val="0"/>
        <w:widowControl w:val="0"/>
        <w:numPr>
          <w:ilvl w:val="0"/>
          <w:numId w:val="13"/>
        </w:numPr>
        <w:shd w:val="clear" w:color="auto" w:fill="auto"/>
        <w:tabs>
          <w:tab w:pos="105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частью 13 статьи 44 Закона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пунктами 1 - 3, 5 - 9 части 12 статьи 48 Закона, в порядке, предусмотренном частью 14 данной статьи,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частью 15 данной статьи,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Объектом закупки являются перчатки медицинские.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Описание объекта закупки (далее - Техническое задание), требования к содержанию и составу заявки на участие в закупке (далее - Требования) содержатся в приложении к Извещению.</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Техническим заданием Заказчиком закупается следующий товар:</w:t>
      </w:r>
    </w:p>
    <w:p>
      <w:pPr>
        <w:pStyle w:val="Style15"/>
        <w:keepNext w:val="0"/>
        <w:keepLines w:val="0"/>
        <w:widowControl w:val="0"/>
        <w:numPr>
          <w:ilvl w:val="0"/>
          <w:numId w:val="15"/>
        </w:numPr>
        <w:shd w:val="clear" w:color="auto" w:fill="auto"/>
        <w:tabs>
          <w:tab w:pos="105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позиции 1-3) Перчатки смотровые/процедурные нитриловые, неопудренные, нестерильные (код КТРУ 22.19.60.119-00000008) </w:t>
      </w:r>
      <w:r>
        <w:rPr>
          <w:i/>
          <w:iCs/>
          <w:color w:val="000000"/>
          <w:spacing w:val="0"/>
          <w:w w:val="100"/>
          <w:position w:val="0"/>
          <w:sz w:val="24"/>
          <w:szCs w:val="24"/>
          <w:shd w:val="clear" w:color="auto" w:fill="auto"/>
          <w:lang w:val="ru-RU" w:eastAsia="ru-RU" w:bidi="ru-RU"/>
        </w:rPr>
        <w:t>(размеры 8, М, к);</w:t>
      </w:r>
    </w:p>
    <w:p>
      <w:pPr>
        <w:pStyle w:val="Style15"/>
        <w:keepNext w:val="0"/>
        <w:keepLines w:val="0"/>
        <w:widowControl w:val="0"/>
        <w:numPr>
          <w:ilvl w:val="0"/>
          <w:numId w:val="15"/>
        </w:numPr>
        <w:shd w:val="clear" w:color="auto" w:fill="auto"/>
        <w:tabs>
          <w:tab w:pos="1053" w:val="left"/>
        </w:tabs>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 xml:space="preserve">позиции 4, 5) Перчатки смотровые/процедурные нитриловые, неопудренные, стерильные (код КТРУ 22.19.60.119-00000014) </w:t>
      </w:r>
      <w:r>
        <w:rPr>
          <w:i/>
          <w:iCs/>
          <w:color w:val="000000"/>
          <w:spacing w:val="0"/>
          <w:w w:val="100"/>
          <w:position w:val="0"/>
          <w:sz w:val="24"/>
          <w:szCs w:val="24"/>
          <w:shd w:val="clear" w:color="auto" w:fill="auto"/>
          <w:lang w:val="ru-RU" w:eastAsia="ru-RU" w:bidi="ru-RU"/>
        </w:rPr>
        <w:t>(размеры М, Е).</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Извещением Заказчиком установлены условия, запреты и ограничения допуска товаров, происходящих из иностранного государства или группы иностранных государств в соответствии с Приказом №126н и Постановлением №617.</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требованиях к содержанию и составу заявок на участие в закупке установлено, что участники закупки в составе заявок должны представить:</w:t>
      </w:r>
    </w:p>
    <w:p>
      <w:pPr>
        <w:pStyle w:val="Style15"/>
        <w:keepNext w:val="0"/>
        <w:keepLines w:val="0"/>
        <w:widowControl w:val="0"/>
        <w:numPr>
          <w:ilvl w:val="0"/>
          <w:numId w:val="15"/>
        </w:numPr>
        <w:shd w:val="clear" w:color="auto" w:fill="auto"/>
        <w:tabs>
          <w:tab w:pos="1053"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предложение участника закупки в отношении объекта закупки должно содержать: наименование, функциональные и качественные характеристики товара, указанные в описании объекта закупки, которые должны быть указаны в соответствии с инструкцией по заполнению заявки;</w:t>
      </w:r>
    </w:p>
    <w:p>
      <w:pPr>
        <w:pStyle w:val="Style15"/>
        <w:keepNext w:val="0"/>
        <w:keepLines w:val="0"/>
        <w:widowControl w:val="0"/>
        <w:numPr>
          <w:ilvl w:val="0"/>
          <w:numId w:val="15"/>
        </w:numPr>
        <w:shd w:val="clear" w:color="auto" w:fill="auto"/>
        <w:tabs>
          <w:tab w:pos="1053" w:val="left"/>
        </w:tabs>
        <w:bidi w:val="0"/>
        <w:spacing w:before="0" w:after="0" w:line="240" w:lineRule="auto"/>
        <w:ind w:left="0" w:right="0" w:firstLine="540"/>
        <w:jc w:val="both"/>
      </w:pPr>
      <w:r>
        <w:rPr>
          <w:color w:val="000000"/>
          <w:spacing w:val="0"/>
          <w:w w:val="100"/>
          <w:position w:val="0"/>
          <w:sz w:val="24"/>
          <w:szCs w:val="24"/>
          <w:shd w:val="clear" w:color="auto" w:fill="auto"/>
          <w:lang w:val="ru-RU" w:eastAsia="ru-RU" w:bidi="ru-RU"/>
        </w:rPr>
        <w:t xml:space="preserve">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w:t>
      </w:r>
      <w:r>
        <w:rPr>
          <w:i/>
          <w:iCs/>
          <w:color w:val="000000"/>
          <w:spacing w:val="0"/>
          <w:w w:val="100"/>
          <w:position w:val="0"/>
          <w:sz w:val="24"/>
          <w:szCs w:val="24"/>
          <w:shd w:val="clear" w:color="auto" w:fill="auto"/>
          <w:lang w:val="ru-RU" w:eastAsia="ru-RU" w:bidi="ru-RU"/>
        </w:rPr>
        <w:t>копия регистрационного удостоверения.</w:t>
      </w:r>
    </w:p>
    <w:p>
      <w:pPr>
        <w:pStyle w:val="Style15"/>
        <w:keepNext w:val="0"/>
        <w:keepLines w:val="0"/>
        <w:widowControl w:val="0"/>
        <w:shd w:val="clear" w:color="auto" w:fill="auto"/>
        <w:bidi w:val="0"/>
        <w:spacing w:before="0" w:after="280" w:line="240" w:lineRule="auto"/>
        <w:ind w:left="0" w:right="0" w:firstLine="700"/>
        <w:jc w:val="both"/>
      </w:pPr>
      <w:r>
        <w:rPr>
          <w:color w:val="000000"/>
          <w:spacing w:val="0"/>
          <w:w w:val="100"/>
          <w:position w:val="0"/>
          <w:sz w:val="24"/>
          <w:szCs w:val="24"/>
          <w:shd w:val="clear" w:color="auto" w:fill="auto"/>
          <w:lang w:val="ru-RU" w:eastAsia="ru-RU" w:bidi="ru-RU"/>
        </w:rPr>
        <w:t>Комиссией в ходе анализа заявок участников закупки установлено, что участником закупки с идентификационным номером 20 (ИП Вахрушева Н.В.) к поставке предложены следующие товары:</w:t>
      </w:r>
    </w:p>
    <w:tbl>
      <w:tblPr>
        <w:tblOverlap w:val="never"/>
        <w:jc w:val="center"/>
        <w:tblLayout w:type="fixed"/>
      </w:tblPr>
      <w:tblGrid>
        <w:gridCol w:w="1013"/>
        <w:gridCol w:w="2496"/>
        <w:gridCol w:w="5386"/>
        <w:gridCol w:w="1147"/>
      </w:tblGrid>
      <w:tr>
        <w:trPr>
          <w:trHeight w:val="475"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Позиция</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Код позиции КТРУ</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Наименование</w:t>
            </w:r>
          </w:p>
          <w:p>
            <w:pPr>
              <w:pStyle w:val="Style21"/>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Товарный знак (при наличии), страна происхождения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Размер</w:t>
            </w:r>
          </w:p>
        </w:tc>
      </w:tr>
      <w:tr>
        <w:trPr>
          <w:trHeight w:val="835"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1-3</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22.19.60.119-00000008</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57" w:lineRule="auto"/>
              <w:ind w:left="0" w:right="0" w:firstLine="0"/>
              <w:jc w:val="center"/>
              <w:rPr>
                <w:sz w:val="19"/>
                <w:szCs w:val="19"/>
              </w:rPr>
            </w:pPr>
            <w:r>
              <w:rPr>
                <w:color w:val="000000"/>
                <w:spacing w:val="0"/>
                <w:w w:val="100"/>
                <w:position w:val="0"/>
                <w:sz w:val="19"/>
                <w:szCs w:val="19"/>
                <w:shd w:val="clear" w:color="auto" w:fill="auto"/>
                <w:lang w:val="ru-RU" w:eastAsia="ru-RU" w:bidi="ru-RU"/>
              </w:rPr>
              <w:t xml:space="preserve">Перчатки смотровые/процедурные </w:t>
            </w:r>
            <w:r>
              <w:rPr>
                <w:i/>
                <w:iCs/>
                <w:color w:val="000000"/>
                <w:spacing w:val="0"/>
                <w:w w:val="100"/>
                <w:position w:val="0"/>
                <w:sz w:val="19"/>
                <w:szCs w:val="19"/>
                <w:shd w:val="clear" w:color="auto" w:fill="auto"/>
                <w:lang w:val="ru-RU" w:eastAsia="ru-RU" w:bidi="ru-RU"/>
              </w:rPr>
              <w:t xml:space="preserve">нитриловые, </w:t>
            </w:r>
            <w:r>
              <w:rPr>
                <w:color w:val="000000"/>
                <w:spacing w:val="0"/>
                <w:w w:val="100"/>
                <w:position w:val="0"/>
                <w:sz w:val="19"/>
                <w:szCs w:val="19"/>
                <w:shd w:val="clear" w:color="auto" w:fill="auto"/>
                <w:lang w:val="ru-RU" w:eastAsia="ru-RU" w:bidi="ru-RU"/>
              </w:rPr>
              <w:t>неопудренные, нестерильные Страна происхождения: Китай, Малайзия</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8, М,Ь</w:t>
            </w:r>
          </w:p>
        </w:tc>
      </w:tr>
      <w:tr>
        <w:trPr>
          <w:trHeight w:val="835"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4,5</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22.19.60.119-00000014</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59" w:lineRule="auto"/>
              <w:ind w:left="0" w:right="0" w:firstLine="0"/>
              <w:jc w:val="center"/>
              <w:rPr>
                <w:sz w:val="19"/>
                <w:szCs w:val="19"/>
              </w:rPr>
            </w:pPr>
            <w:r>
              <w:rPr>
                <w:color w:val="000000"/>
                <w:spacing w:val="0"/>
                <w:w w:val="100"/>
                <w:position w:val="0"/>
                <w:sz w:val="19"/>
                <w:szCs w:val="19"/>
                <w:shd w:val="clear" w:color="auto" w:fill="auto"/>
                <w:lang w:val="ru-RU" w:eastAsia="ru-RU" w:bidi="ru-RU"/>
              </w:rPr>
              <w:t xml:space="preserve">Перчатки смотровые/процедурные </w:t>
            </w:r>
            <w:r>
              <w:rPr>
                <w:i/>
                <w:iCs/>
                <w:color w:val="000000"/>
                <w:spacing w:val="0"/>
                <w:w w:val="100"/>
                <w:position w:val="0"/>
                <w:sz w:val="19"/>
                <w:szCs w:val="19"/>
                <w:shd w:val="clear" w:color="auto" w:fill="auto"/>
                <w:lang w:val="ru-RU" w:eastAsia="ru-RU" w:bidi="ru-RU"/>
              </w:rPr>
              <w:t xml:space="preserve">нитриловые, </w:t>
            </w:r>
            <w:r>
              <w:rPr>
                <w:color w:val="000000"/>
                <w:spacing w:val="0"/>
                <w:w w:val="100"/>
                <w:position w:val="0"/>
                <w:sz w:val="19"/>
                <w:szCs w:val="19"/>
                <w:shd w:val="clear" w:color="auto" w:fill="auto"/>
                <w:lang w:val="ru-RU" w:eastAsia="ru-RU" w:bidi="ru-RU"/>
              </w:rPr>
              <w:t>неопудренные, стерильные</w:t>
            </w:r>
          </w:p>
          <w:p>
            <w:pPr>
              <w:pStyle w:val="Style21"/>
              <w:keepNext w:val="0"/>
              <w:keepLines w:val="0"/>
              <w:widowControl w:val="0"/>
              <w:shd w:val="clear" w:color="auto" w:fill="auto"/>
              <w:bidi w:val="0"/>
              <w:spacing w:before="0" w:after="0" w:line="259" w:lineRule="auto"/>
              <w:ind w:left="0" w:right="0" w:firstLine="0"/>
              <w:jc w:val="center"/>
              <w:rPr>
                <w:sz w:val="19"/>
                <w:szCs w:val="19"/>
              </w:rPr>
            </w:pPr>
            <w:r>
              <w:rPr>
                <w:color w:val="000000"/>
                <w:spacing w:val="0"/>
                <w:w w:val="100"/>
                <w:position w:val="0"/>
                <w:sz w:val="19"/>
                <w:szCs w:val="19"/>
                <w:shd w:val="clear" w:color="auto" w:fill="auto"/>
                <w:lang w:val="ru-RU" w:eastAsia="ru-RU" w:bidi="ru-RU"/>
              </w:rPr>
              <w:t>Страна происхождения: Российская Федерация</w:t>
            </w: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ru-RU" w:eastAsia="ru-RU" w:bidi="ru-RU"/>
              </w:rPr>
              <w:t>М,Ь</w:t>
            </w:r>
          </w:p>
        </w:tc>
      </w:tr>
    </w:tbl>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Также в составе заявки были приложены РУ от 25.05.2021 № РНЗ 2021/14392 на медицинское изделие «Перчатки смотровые нитриловые, неопудренные, нестерильные» (по позициям 1-3 Технического задания), РУ от 11.04.2024 № ФСР 2011/12244 на медицинское изделие «Перчатки хирургические и смотровые, стерильные» (по позициям 4,5 Технического задания).</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В соответствии с пунктом 6 приложения к регистрационному удостоверению от 11.04.2024 № ФСР 2011/12244 данное РУ выдано в том числе на медицинское изделие «Перчатки смотровые стерильные из </w:t>
      </w:r>
      <w:r>
        <w:rPr>
          <w:i/>
          <w:iCs/>
          <w:color w:val="000000"/>
          <w:spacing w:val="0"/>
          <w:w w:val="100"/>
          <w:position w:val="0"/>
          <w:sz w:val="24"/>
          <w:szCs w:val="24"/>
          <w:shd w:val="clear" w:color="auto" w:fill="auto"/>
          <w:lang w:val="ru-RU" w:eastAsia="ru-RU" w:bidi="ru-RU"/>
        </w:rPr>
        <w:t>синтетического латекса</w:t>
      </w:r>
      <w:r>
        <w:rPr>
          <w:color w:val="000000"/>
          <w:spacing w:val="0"/>
          <w:w w:val="100"/>
          <w:position w:val="0"/>
          <w:sz w:val="24"/>
          <w:szCs w:val="24"/>
          <w:shd w:val="clear" w:color="auto" w:fill="auto"/>
          <w:lang w:val="ru-RU" w:eastAsia="ru-RU" w:bidi="ru-RU"/>
        </w:rPr>
        <w:t xml:space="preserve"> неопудренные №№Х8, 8, М, Г, ХГ».</w:t>
      </w:r>
    </w:p>
    <w:p>
      <w:pPr>
        <w:pStyle w:val="Style15"/>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пунктом 3.2 ГОСТ Р 52239-2004 (ИСО 11193-1:2008). Национальный стандарт Российской Федерации. Перчатки медицинские диагностические одноразовые. Часть 1. Спецификация на перчатки из каучукового латекса или раствора» (утв. и введен в действие Постановлением Госстандарта России от 09.03.2004 №104-ст) в зависимости от материала перчатки изготовляют двух типов:</w:t>
      </w:r>
    </w:p>
    <w:p>
      <w:pPr>
        <w:pStyle w:val="Style15"/>
        <w:keepNext w:val="0"/>
        <w:keepLines w:val="0"/>
        <w:widowControl w:val="0"/>
        <w:numPr>
          <w:ilvl w:val="0"/>
          <w:numId w:val="17"/>
        </w:numPr>
        <w:shd w:val="clear" w:color="auto" w:fill="auto"/>
        <w:tabs>
          <w:tab w:pos="105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1 - из латекса натурального каучука;</w:t>
      </w:r>
    </w:p>
    <w:p>
      <w:pPr>
        <w:pStyle w:val="Style15"/>
        <w:keepNext w:val="0"/>
        <w:keepLines w:val="0"/>
        <w:widowControl w:val="0"/>
        <w:numPr>
          <w:ilvl w:val="0"/>
          <w:numId w:val="17"/>
        </w:numPr>
        <w:shd w:val="clear" w:color="auto" w:fill="auto"/>
        <w:tabs>
          <w:tab w:pos="1053" w:val="left"/>
        </w:tabs>
        <w:bidi w:val="0"/>
        <w:spacing w:before="0" w:after="280" w:line="240" w:lineRule="auto"/>
        <w:ind w:left="0" w:right="0" w:firstLine="700"/>
        <w:jc w:val="both"/>
        <w:sectPr>
          <w:headerReference w:type="default" r:id="rId8"/>
          <w:footerReference w:type="default" r:id="rId9"/>
          <w:footnotePr>
            <w:pos w:val="pageBottom"/>
            <w:numFmt w:val="decimal"/>
            <w:numRestart w:val="continuous"/>
          </w:footnotePr>
          <w:pgSz w:w="11900" w:h="16840"/>
          <w:pgMar w:top="1690" w:right="529" w:bottom="1316" w:left="1100"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2 - из нитрильного латекса, полихлоропренового латекса, раствора бутадиен-стирольного каучука, каучуковой эмульсии на основе сополимера бутадиен-стирола или раствора</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термоэластопласта.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3.3 Методических рекомендаций 3.5.1.0113-16. 3.5.1. Дезинфектология. Использование перчаток для профилактики инфекций, связанных с оказанием медицинской помощи, в медицинских организациях. Методические рекомендации (далее - Методические рекомендации) в зависимости от материала, из которого они изготовлены, медицинские перчатки могут быть двух типов:</w:t>
      </w:r>
    </w:p>
    <w:p>
      <w:pPr>
        <w:pStyle w:val="Style15"/>
        <w:keepNext w:val="0"/>
        <w:keepLines w:val="0"/>
        <w:widowControl w:val="0"/>
        <w:numPr>
          <w:ilvl w:val="0"/>
          <w:numId w:val="19"/>
        </w:numPr>
        <w:shd w:val="clear" w:color="auto" w:fill="auto"/>
        <w:tabs>
          <w:tab w:pos="90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перчатки из натурального каучукового латекса (латексные перчатки);</w:t>
      </w:r>
    </w:p>
    <w:p>
      <w:pPr>
        <w:pStyle w:val="Style15"/>
        <w:keepNext w:val="0"/>
        <w:keepLines w:val="0"/>
        <w:widowControl w:val="0"/>
        <w:numPr>
          <w:ilvl w:val="0"/>
          <w:numId w:val="19"/>
        </w:numPr>
        <w:shd w:val="clear" w:color="auto" w:fill="auto"/>
        <w:tabs>
          <w:tab w:pos="902"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перчатки из синтетических полимеров (синтетические перчатки).</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3.3.2 Методических рекомендаций синтетические перчатки применяются при наличии у медицинского работника аллергии к белкам натурального латекса, а также при контакте с химически агрессивными веществами. Для медицинских целей используются:</w:t>
      </w:r>
    </w:p>
    <w:p>
      <w:pPr>
        <w:pStyle w:val="Style15"/>
        <w:keepNext w:val="0"/>
        <w:keepLines w:val="0"/>
        <w:widowControl w:val="0"/>
        <w:numPr>
          <w:ilvl w:val="0"/>
          <w:numId w:val="19"/>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перчатки из полиизопрена;</w:t>
      </w:r>
    </w:p>
    <w:p>
      <w:pPr>
        <w:pStyle w:val="Style15"/>
        <w:keepNext w:val="0"/>
        <w:keepLines w:val="0"/>
        <w:widowControl w:val="0"/>
        <w:numPr>
          <w:ilvl w:val="0"/>
          <w:numId w:val="19"/>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перчатки из полихлоропрена (неопрена);</w:t>
      </w:r>
    </w:p>
    <w:p>
      <w:pPr>
        <w:pStyle w:val="Style15"/>
        <w:keepNext w:val="0"/>
        <w:keepLines w:val="0"/>
        <w:widowControl w:val="0"/>
        <w:numPr>
          <w:ilvl w:val="0"/>
          <w:numId w:val="19"/>
        </w:numPr>
        <w:shd w:val="clear" w:color="auto" w:fill="auto"/>
        <w:tabs>
          <w:tab w:pos="922" w:val="left"/>
        </w:tabs>
        <w:bidi w:val="0"/>
        <w:spacing w:before="0" w:after="0" w:line="240" w:lineRule="auto"/>
        <w:ind w:left="0" w:right="0" w:firstLine="720"/>
        <w:jc w:val="both"/>
      </w:pPr>
      <w:r>
        <w:rPr>
          <w:i/>
          <w:iCs/>
          <w:color w:val="000000"/>
          <w:spacing w:val="0"/>
          <w:w w:val="100"/>
          <w:position w:val="0"/>
          <w:sz w:val="24"/>
          <w:szCs w:val="24"/>
          <w:shd w:val="clear" w:color="auto" w:fill="auto"/>
          <w:lang w:val="ru-RU" w:eastAsia="ru-RU" w:bidi="ru-RU"/>
        </w:rPr>
        <w:t>перчатки из нитрила,</w:t>
      </w:r>
    </w:p>
    <w:p>
      <w:pPr>
        <w:pStyle w:val="Style15"/>
        <w:keepNext w:val="0"/>
        <w:keepLines w:val="0"/>
        <w:widowControl w:val="0"/>
        <w:numPr>
          <w:ilvl w:val="0"/>
          <w:numId w:val="19"/>
        </w:numPr>
        <w:shd w:val="clear" w:color="auto" w:fill="auto"/>
        <w:tabs>
          <w:tab w:pos="92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перчатки из винила.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Следовательно, Заявителем были представлены все необходимые документы на предлагаемый к поставке товар и заявка данного участника закупки не подлежала отклонению.</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аукционная комиссия, отклонив участника закупки с идентификационным номером 20 (ИП Вахрушева Н.В.) тем самым нарушила подпункт «а» пункта 1 части 5 статьи 49, пункт 1 части 12 статьи 48 Закона.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аналогичному основанию аукционная комиссия неправомерно отказала в допуске участнику закупки с идентификационным номером 5.</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жалоба ИП Вахрушевой Н.В. нашла свое подтверждение.</w:t>
      </w:r>
    </w:p>
    <w:p>
      <w:pPr>
        <w:pStyle w:val="Style15"/>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и руководствуясь частью 22 статьи 99 и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Смоленского УФАС России по контролю в сфере закупок,</w:t>
      </w:r>
    </w:p>
    <w:p>
      <w:pPr>
        <w:pStyle w:val="Style15"/>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5"/>
        <w:keepNext w:val="0"/>
        <w:keepLines w:val="0"/>
        <w:widowControl w:val="0"/>
        <w:numPr>
          <w:ilvl w:val="0"/>
          <w:numId w:val="21"/>
        </w:numPr>
        <w:shd w:val="clear" w:color="auto" w:fill="auto"/>
        <w:tabs>
          <w:tab w:pos="11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ИП Вахрушевой Н.В. на действия аукционной комиссии, государственного заказчика - Федерального казенного учреждения «Смоленская психиатрическая больница (стационар) специализированного типа с интенсивным наблюдением» Министерства здравоохранения Российской Федерации» при проведении электронного аукциона: «Поставка перчаток медицинских» (извещение № 0363100008224000175) обоснованной.</w:t>
      </w:r>
    </w:p>
    <w:p>
      <w:pPr>
        <w:pStyle w:val="Style15"/>
        <w:keepNext w:val="0"/>
        <w:keepLines w:val="0"/>
        <w:widowControl w:val="0"/>
        <w:numPr>
          <w:ilvl w:val="0"/>
          <w:numId w:val="21"/>
        </w:numPr>
        <w:shd w:val="clear" w:color="auto" w:fill="auto"/>
        <w:tabs>
          <w:tab w:pos="11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в действиях аукционной комиссии, государственного заказчика - Федерального казенного учреждения «Смоленская психиатрическая больница (стационар) специализированного типа с интенсивным наблюдением» Министерства здравоохранения Российской Федерации» нарушения требований подпункта «а» пункта 1 части 5 статьи 49, пункта 1 части 12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numPr>
          <w:ilvl w:val="0"/>
          <w:numId w:val="21"/>
        </w:numPr>
        <w:shd w:val="clear" w:color="auto" w:fill="auto"/>
        <w:tabs>
          <w:tab w:pos="11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аукционной комиссии, государственному заказчику, оператору электронной площадки предписание об устранении нарушений законодательства о контрактной системе.</w:t>
      </w:r>
    </w:p>
    <w:p>
      <w:pPr>
        <w:pStyle w:val="Style15"/>
        <w:keepNext w:val="0"/>
        <w:keepLines w:val="0"/>
        <w:widowControl w:val="0"/>
        <w:numPr>
          <w:ilvl w:val="0"/>
          <w:numId w:val="21"/>
        </w:numPr>
        <w:shd w:val="clear" w:color="auto" w:fill="auto"/>
        <w:tabs>
          <w:tab w:pos="1118" w:val="left"/>
        </w:tabs>
        <w:bidi w:val="0"/>
        <w:spacing w:before="0" w:after="540" w:line="240" w:lineRule="auto"/>
        <w:ind w:left="0" w:right="0" w:firstLine="720"/>
        <w:jc w:val="both"/>
      </w:pPr>
      <w:r>
        <w:rPr>
          <w:color w:val="000000"/>
          <w:spacing w:val="0"/>
          <w:w w:val="100"/>
          <w:position w:val="0"/>
          <w:sz w:val="24"/>
          <w:szCs w:val="24"/>
          <w:shd w:val="clear" w:color="auto" w:fill="auto"/>
          <w:lang w:val="ru-RU" w:eastAsia="ru-RU" w:bidi="ru-RU"/>
        </w:rPr>
        <w:t>Передать уполномоченному должностному лицу материалы для рассмотрения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400" w:line="334" w:lineRule="auto"/>
        <w:ind w:left="0" w:right="0" w:firstLine="720"/>
        <w:jc w:val="both"/>
        <w:sectPr>
          <w:headerReference w:type="default" r:id="rId10"/>
          <w:footerReference w:type="default" r:id="rId11"/>
          <w:footnotePr>
            <w:pos w:val="pageBottom"/>
            <w:numFmt w:val="decimal"/>
            <w:numRestart w:val="continuous"/>
          </w:footnotePr>
          <w:pgSz w:w="11900" w:h="16840"/>
          <w:pgMar w:top="1695" w:right="532" w:bottom="730" w:left="1106" w:header="0" w:footer="302" w:gutter="0"/>
          <w:cols w:space="720"/>
          <w:noEndnote/>
          <w:rtlGutter w:val="0"/>
          <w:docGrid w:linePitch="360"/>
        </w:sectPr>
      </w:pPr>
      <w:r>
        <w:rPr>
          <w:i/>
          <w:iCs/>
          <w:color w:val="000000"/>
          <w:spacing w:val="0"/>
          <w:w w:val="100"/>
          <w:position w:val="0"/>
          <w:sz w:val="24"/>
          <w:szCs w:val="24"/>
          <w:shd w:val="clear" w:color="auto" w:fill="auto"/>
          <w:lang w:val="ru-RU" w:eastAsia="ru-RU" w:bidi="ru-RU"/>
        </w:rPr>
        <w:t xml:space="preserve">В соответствии с частью 9 статьи 106 Федерального закона от 05.04.2013 № 44-ФЗ «О контрактной системе в сфере закупок товаров, работ, услуг для обеспечения государственных и </w:t>
      </w:r>
      <w:r>
        <w:rPr>
          <w:color w:val="000000"/>
          <w:spacing w:val="0"/>
          <w:w w:val="100"/>
          <w:position w:val="0"/>
          <w:sz w:val="24"/>
          <w:szCs w:val="24"/>
          <w:shd w:val="clear" w:color="auto" w:fill="auto"/>
          <w:lang w:val="ru-RU" w:eastAsia="ru-RU" w:bidi="ru-RU"/>
        </w:rPr>
        <w:t>2024-4326</w:t>
      </w:r>
    </w:p>
    <w:p>
      <w:pPr>
        <w:pStyle w:val="Style15"/>
        <w:keepNext w:val="0"/>
        <w:keepLines w:val="0"/>
        <w:widowControl w:val="0"/>
        <w:shd w:val="clear" w:color="auto" w:fill="auto"/>
        <w:bidi w:val="0"/>
        <w:spacing w:before="0" w:after="540" w:line="240" w:lineRule="auto"/>
        <w:ind w:left="0" w:right="0" w:firstLine="0"/>
        <w:jc w:val="left"/>
      </w:pPr>
      <w:r>
        <w:rPr>
          <w:i/>
          <w:iCs/>
          <w:color w:val="000000"/>
          <w:spacing w:val="0"/>
          <w:w w:val="100"/>
          <w:position w:val="0"/>
          <w:sz w:val="24"/>
          <w:szCs w:val="24"/>
          <w:shd w:val="clear" w:color="auto" w:fill="auto"/>
          <w:lang w:val="ru-RU" w:eastAsia="ru-RU" w:bidi="ru-RU"/>
        </w:rPr>
        <w:t>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Заместитель</w:t>
      </w:r>
    </w:p>
    <w:p>
      <w:pPr>
        <w:pStyle w:val="Style15"/>
        <w:keepNext w:val="0"/>
        <w:keepLines w:val="0"/>
        <w:widowControl w:val="0"/>
        <w:shd w:val="clear" w:color="auto" w:fill="auto"/>
        <w:bidi w:val="0"/>
        <w:spacing w:before="0" w:after="640" w:line="240" w:lineRule="auto"/>
        <w:ind w:left="0" w:right="0" w:firstLine="0"/>
        <w:jc w:val="left"/>
      </w:pPr>
      <w:r>
        <w:rPr>
          <w:color w:val="000000"/>
          <w:spacing w:val="0"/>
          <w:w w:val="100"/>
          <w:position w:val="0"/>
          <w:sz w:val="24"/>
          <w:szCs w:val="24"/>
          <w:shd w:val="clear" w:color="auto" w:fill="auto"/>
          <w:lang w:val="ru-RU" w:eastAsia="ru-RU" w:bidi="ru-RU"/>
        </w:rPr>
        <w:t>председателя Комиссии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sectPr>
      <w:headerReference w:type="default" r:id="rId12"/>
      <w:footerReference w:type="default" r:id="rId13"/>
      <w:footnotePr>
        <w:pos w:val="pageBottom"/>
        <w:numFmt w:val="decimal"/>
        <w:numRestart w:val="continuous"/>
      </w:footnotePr>
      <w:pgSz w:w="11900" w:h="16840"/>
      <w:pgMar w:top="1690" w:right="561" w:bottom="1690" w:left="10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10016490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wps:txbx>
                    <wps:bodyPr wrap="none" lIns="0" tIns="0" rIns="0" bIns="0">
                      <a:spAutoFit/>
                    </wps:bodyPr>
                  </wps:wsp>
                </a:graphicData>
              </a:graphic>
            </wp:anchor>
          </w:drawing>
        </mc:Choice>
        <mc:Fallback>
          <w:pict>
            <v:shape id="_x0000_s1035" type="#_x0000_t202" style="position:absolute;margin-left:57.pt;margin-top:788.70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10016490</wp:posOffset>
              </wp:positionV>
              <wp:extent cx="648970" cy="100330"/>
              <wp:wrapNone/>
              <wp:docPr id="15" name="Shape 1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wps:txbx>
                    <wps:bodyPr wrap="none" lIns="0" tIns="0" rIns="0" bIns="0">
                      <a:spAutoFit/>
                    </wps:bodyPr>
                  </wps:wsp>
                </a:graphicData>
              </a:graphic>
            </wp:anchor>
          </w:drawing>
        </mc:Choice>
        <mc:Fallback>
          <w:pict>
            <v:shape id="_x0000_s1041" type="#_x0000_t202" style="position:absolute;margin-left:57.pt;margin-top:788.70000000000005pt;width:51.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2024-4326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762635</wp:posOffset>
              </wp:positionV>
              <wp:extent cx="67310" cy="100330"/>
              <wp:wrapNone/>
              <wp:docPr id="5" name="Shape 5"/>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pt;margin-top:60.050000000000004pt;width:5.2999999999999998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762635</wp:posOffset>
              </wp:positionV>
              <wp:extent cx="57785" cy="100330"/>
              <wp:wrapNone/>
              <wp:docPr id="7" name="Shape 7"/>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44999999999999pt;margin-top:60.050000000000004pt;width:4.5499999999999998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762635</wp:posOffset>
              </wp:positionV>
              <wp:extent cx="67310" cy="100330"/>
              <wp:wrapNone/>
              <wp:docPr id="11" name="Shape 11"/>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9.pt;margin-top:60.050000000000004pt;width:5.2999999999999998pt;height:7.9000000000000004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3930015</wp:posOffset>
              </wp:positionH>
              <wp:positionV relativeFrom="page">
                <wp:posOffset>762635</wp:posOffset>
              </wp:positionV>
              <wp:extent cx="57785" cy="100330"/>
              <wp:wrapNone/>
              <wp:docPr id="13" name="Shape 13"/>
              <a:graphic xmlns:a="http://schemas.openxmlformats.org/drawingml/2006/main">
                <a:graphicData uri="http://schemas.microsoft.com/office/word/2010/wordprocessingShape">
                  <wps:wsp>
                    <wps:cNvSpPr txBox="1"/>
                    <wps:spPr>
                      <a:xfrm>
                        <a:ext cx="5778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9.44999999999999pt;margin-top:60.050000000000004pt;width:4.5499999999999998pt;height:7.9000000000000004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B6293"/>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2)_"/>
    <w:basedOn w:val="DefaultParagraphFont"/>
    <w:link w:val="Style8"/>
    <w:rPr>
      <w:rFonts w:ascii="Times New Roman" w:eastAsia="Times New Roman" w:hAnsi="Times New Roman" w:cs="Times New Roman"/>
      <w:b w:val="0"/>
      <w:bCs w:val="0"/>
      <w:i w:val="0"/>
      <w:iCs w:val="0"/>
      <w:smallCaps w:val="0"/>
      <w:strike w:val="0"/>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u w:val="none"/>
    </w:rPr>
  </w:style>
  <w:style w:type="character" w:customStyle="1" w:styleId="CharStyle18">
    <w:name w:val="Заголовок №3_"/>
    <w:basedOn w:val="DefaultParagraphFont"/>
    <w:link w:val="Style17"/>
    <w:rPr>
      <w:rFonts w:ascii="Times New Roman" w:eastAsia="Times New Roman" w:hAnsi="Times New Roman" w:cs="Times New Roman"/>
      <w:b/>
      <w:bCs/>
      <w:i w:val="0"/>
      <w:iCs w:val="0"/>
      <w:smallCaps w:val="0"/>
      <w:strike w:val="0"/>
      <w:u w:val="non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8"/>
      <w:szCs w:val="48"/>
      <w:u w:val="none"/>
    </w:rPr>
  </w:style>
  <w:style w:type="paragraph" w:customStyle="1" w:styleId="Style2">
    <w:name w:val="Основной текст (3)"/>
    <w:basedOn w:val="Normal"/>
    <w:link w:val="CharStyle3"/>
    <w:pPr>
      <w:widowControl w:val="0"/>
      <w:shd w:val="clear" w:color="auto" w:fill="auto"/>
      <w:spacing w:after="40"/>
      <w:ind w:firstLine="370"/>
    </w:pPr>
    <w:rPr>
      <w:rFonts w:ascii="Times New Roman" w:eastAsia="Times New Roman" w:hAnsi="Times New Roman" w:cs="Times New Roman"/>
      <w:b w:val="0"/>
      <w:bCs w:val="0"/>
      <w:i w:val="0"/>
      <w:iCs w:val="0"/>
      <w:smallCaps w:val="0"/>
      <w:strike w:val="0"/>
      <w:color w:val="4B6293"/>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2)"/>
    <w:basedOn w:val="Normal"/>
    <w:link w:val="CharStyle9"/>
    <w:pPr>
      <w:widowControl w:val="0"/>
      <w:shd w:val="clear" w:color="auto" w:fill="auto"/>
      <w:spacing w:after="220"/>
    </w:pPr>
    <w:rPr>
      <w:rFonts w:ascii="Times New Roman" w:eastAsia="Times New Roman" w:hAnsi="Times New Roman" w:cs="Times New Roman"/>
      <w:b w:val="0"/>
      <w:bCs w:val="0"/>
      <w:i w:val="0"/>
      <w:iCs w:val="0"/>
      <w:smallCaps w:val="0"/>
      <w:strike w:val="0"/>
      <w:sz w:val="19"/>
      <w:szCs w:val="19"/>
      <w:u w:val="none"/>
    </w:rPr>
  </w:style>
  <w:style w:type="paragraph" w:customStyle="1" w:styleId="Style11">
    <w:name w:val="Заголовок №2"/>
    <w:basedOn w:val="Normal"/>
    <w:link w:val="CharStyle12"/>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Заголовок №3"/>
    <w:basedOn w:val="Normal"/>
    <w:link w:val="CharStyle18"/>
    <w:pPr>
      <w:widowControl w:val="0"/>
      <w:shd w:val="clear" w:color="auto" w:fill="auto"/>
      <w:spacing w:line="233" w:lineRule="auto"/>
      <w:outlineLvl w:val="2"/>
    </w:pPr>
    <w:rPr>
      <w:rFonts w:ascii="Times New Roman" w:eastAsia="Times New Roman" w:hAnsi="Times New Roman" w:cs="Times New Roman"/>
      <w:b/>
      <w:bCs/>
      <w:i w:val="0"/>
      <w:iCs w:val="0"/>
      <w:smallCaps w:val="0"/>
      <w:strike w:val="0"/>
      <w:u w:val="non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3">
    <w:name w:val="Заголовок №1"/>
    <w:basedOn w:val="Normal"/>
    <w:link w:val="CharStyle24"/>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header" Target="header2.xml"/><Relationship Id="rId9" Type="http://schemas.openxmlformats.org/officeDocument/2006/relationships/footer" Target="footer3.xml"/><Relationship Id="rId10" Type="http://schemas.openxmlformats.org/officeDocument/2006/relationships/header" Target="header3.xml"/><Relationship Id="rId11" Type="http://schemas.openxmlformats.org/officeDocument/2006/relationships/footer" Target="footer4.xml"/><Relationship Id="rId12" Type="http://schemas.openxmlformats.org/officeDocument/2006/relationships/header" Target="header4.xml"/><Relationship Id="rId13" Type="http://schemas.openxmlformats.org/officeDocument/2006/relationships/footer" Target="footer5.xml"/></Relationships>
</file>