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960" w:h="2534" w:wrap="none" w:hAnchor="page" w:x="1227" w:y="961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framePr w:w="3960" w:h="2534" w:wrap="none" w:hAnchor="page" w:x="1227" w:y="961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4"/>
        <w:keepNext w:val="0"/>
        <w:keepLines w:val="0"/>
        <w:framePr w:w="3960" w:h="2534" w:wrap="none" w:hAnchor="page" w:x="1227" w:y="961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i w:val="0"/>
          <w:iCs w:val="0"/>
          <w:color w:val="3D60B1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Федеральной антимонопольной</w:t>
        <w:br/>
        <w:t>службы по Ханты-Мансийскому</w:t>
        <w:br/>
        <w:t>автономному округу - Югре</w:t>
        <w:br/>
      </w:r>
      <w:r>
        <w:rPr>
          <w:i w:val="0"/>
          <w:iCs w:val="0"/>
          <w:color w:val="3D60B1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ул. Мира, д. 27, Ханты-Мансийск, 628012</w:t>
        <w:br/>
        <w:t>телефон/факс +7 (3467) 38-80-81</w:t>
        <w:br/>
      </w:r>
      <w:r>
        <w:rPr>
          <w:i w:val="0"/>
          <w:iCs w:val="0"/>
          <w:color w:val="3D60B1"/>
          <w:spacing w:val="0"/>
          <w:w w:val="100"/>
          <w:position w:val="0"/>
          <w:shd w:val="clear" w:color="auto" w:fill="auto"/>
          <w:lang w:val="ru-RU" w:eastAsia="ru-RU" w:bidi="ru-RU"/>
        </w:rPr>
        <w:t>е-таП: 1о86@Га8.§оу.ги, сайт 1Шр://11тао.Га8.§оу.ги</w:t>
        <w:br/>
        <w:t>ИНН 8601009316 КПП 860101001 ОГРН 1028600512093</w:t>
      </w:r>
    </w:p>
    <w:p>
      <w:pPr>
        <w:pStyle w:val="Style2"/>
        <w:keepNext w:val="0"/>
        <w:keepLines w:val="0"/>
        <w:framePr w:w="4061" w:h="216" w:wrap="none" w:hAnchor="page" w:x="1141" w:y="3663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0"/>
        <w:keepNext w:val="0"/>
        <w:keepLines w:val="0"/>
        <w:framePr w:w="4061" w:h="206" w:wrap="none" w:hAnchor="page" w:x="1141" w:y="41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/>
        <w:keepLines/>
        <w:framePr w:w="4882" w:h="6691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14"/>
        <w:keepNext w:val="0"/>
        <w:keepLines w:val="0"/>
        <w:framePr w:w="4882" w:h="6691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"РТС-тендер"</w:t>
      </w:r>
    </w:p>
    <w:p>
      <w:pPr>
        <w:pStyle w:val="Style14"/>
        <w:keepNext w:val="0"/>
        <w:keepLines w:val="0"/>
        <w:framePr w:w="4882" w:h="6691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14"/>
        <w:keepNext w:val="0"/>
        <w:keepLines w:val="0"/>
        <w:framePr w:w="4882" w:h="6691" w:wrap="none" w:hAnchor="page" w:x="6406" w:y="87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Шевченко, д.23А</w:t>
      </w:r>
    </w:p>
    <w:p>
      <w:pPr>
        <w:pStyle w:val="Style12"/>
        <w:keepNext/>
        <w:keepLines/>
        <w:framePr w:w="4882" w:h="6691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14"/>
        <w:keepNext w:val="0"/>
        <w:keepLines w:val="0"/>
        <w:framePr w:w="4882" w:h="6691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Индивидуальный предприниматель Байков</w:t>
      </w:r>
    </w:p>
    <w:p>
      <w:pPr>
        <w:pStyle w:val="Style14"/>
        <w:keepNext w:val="0"/>
        <w:keepLines w:val="0"/>
        <w:framePr w:w="4882" w:h="6691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Алексей Олегович</w:t>
      </w:r>
    </w:p>
    <w:p>
      <w:pPr>
        <w:pStyle w:val="Style14"/>
        <w:keepNext w:val="0"/>
        <w:keepLines w:val="0"/>
        <w:framePr w:w="4882" w:h="6691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198322, г. Санкт-Петербург, ул. Адмирала</w:t>
      </w:r>
    </w:p>
    <w:p>
      <w:pPr>
        <w:pStyle w:val="Style14"/>
        <w:keepNext w:val="0"/>
        <w:keepLines w:val="0"/>
        <w:framePr w:w="4882" w:h="6691" w:wrap="none" w:hAnchor="page" w:x="6406" w:y="87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Черокова, д. 18, корп. 3 Литера А, кв. 347</w:t>
      </w:r>
    </w:p>
    <w:p>
      <w:pPr>
        <w:pStyle w:val="Style12"/>
        <w:keepNext/>
        <w:keepLines/>
        <w:framePr w:w="4882" w:h="6691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14"/>
        <w:keepNext w:val="0"/>
        <w:keepLines w:val="0"/>
        <w:framePr w:w="4882" w:h="6691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Бюджетное учреждение Ханты-Мансийского автономного округа - Югры «Сургутская окружная клиническая больница"</w:t>
      </w:r>
    </w:p>
    <w:p>
      <w:pPr>
        <w:pStyle w:val="Style14"/>
        <w:keepNext w:val="0"/>
        <w:keepLines w:val="0"/>
        <w:framePr w:w="4882" w:h="6691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628408, Ханты-Мансийский автономный округ</w:t>
      </w:r>
    </w:p>
    <w:p>
      <w:pPr>
        <w:pStyle w:val="Style14"/>
        <w:keepNext w:val="0"/>
        <w:keepLines w:val="0"/>
        <w:framePr w:w="4882" w:h="6691" w:wrap="none" w:hAnchor="page" w:x="6406" w:y="87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Югра , г. Сургут, ул. Энергетиков, д. 24, к. 2</w:t>
      </w:r>
    </w:p>
    <w:p>
      <w:pPr>
        <w:pStyle w:val="Style12"/>
        <w:keepNext/>
        <w:keepLines/>
        <w:framePr w:w="4882" w:h="6691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орган:</w:t>
      </w:r>
      <w:bookmarkEnd w:id="6"/>
    </w:p>
    <w:p>
      <w:pPr>
        <w:pStyle w:val="Style14"/>
        <w:keepNext w:val="0"/>
        <w:keepLines w:val="0"/>
        <w:framePr w:w="4882" w:h="6691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Казенное учреждение Ханты-Мансийского автономного округа - Югры «Центр лекарственного мониторинга»</w:t>
      </w:r>
    </w:p>
    <w:p>
      <w:pPr>
        <w:pStyle w:val="Style14"/>
        <w:keepNext w:val="0"/>
        <w:keepLines w:val="0"/>
        <w:framePr w:w="4882" w:h="6691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628400, Ханты-Мансийский автономный округ</w:t>
      </w:r>
    </w:p>
    <w:p>
      <w:pPr>
        <w:pStyle w:val="Style14"/>
        <w:keepNext w:val="0"/>
        <w:keepLines w:val="0"/>
        <w:framePr w:w="4882" w:h="6691" w:wrap="none" w:hAnchor="page" w:x="6406" w:y="87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-Югра, г. Сургут, пр-т Набережный, 41</w:t>
      </w:r>
    </w:p>
    <w:p>
      <w:pPr>
        <w:pStyle w:val="Style12"/>
        <w:keepNext/>
        <w:keepLines/>
        <w:framePr w:w="3744" w:h="350" w:wrap="none" w:hAnchor="page" w:x="4362" w:y="83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086/06/48-1520/2024</w:t>
      </w:r>
      <w:bookmarkEnd w:id="8"/>
    </w:p>
    <w:p>
      <w:pPr>
        <w:pStyle w:val="Style14"/>
        <w:keepNext w:val="0"/>
        <w:keepLines w:val="0"/>
        <w:framePr w:w="4334" w:h="619" w:wrap="none" w:hAnchor="page" w:x="1107" w:y="89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23.09.2024</w:t>
      </w:r>
    </w:p>
    <w:p>
      <w:pPr>
        <w:pStyle w:val="Style14"/>
        <w:keepNext w:val="0"/>
        <w:keepLines w:val="0"/>
        <w:framePr w:w="4334" w:h="619" w:wrap="none" w:hAnchor="page" w:x="1107" w:y="89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26.09.2024</w:t>
      </w:r>
    </w:p>
    <w:p>
      <w:pPr>
        <w:pStyle w:val="Style14"/>
        <w:keepNext w:val="0"/>
        <w:keepLines w:val="0"/>
        <w:framePr w:w="2026" w:h="346" w:wrap="none" w:hAnchor="page" w:x="8926" w:y="89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Ханты-Мансийск</w:t>
      </w:r>
    </w:p>
    <w:p>
      <w:pPr>
        <w:pStyle w:val="Style14"/>
        <w:keepNext w:val="0"/>
        <w:keepLines w:val="0"/>
        <w:framePr w:w="10248" w:h="4205" w:wrap="none" w:hAnchor="page" w:x="1112" w:y="9759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4"/>
        <w:keepNext w:val="0"/>
        <w:keepLines w:val="0"/>
        <w:framePr w:w="10248" w:h="4205" w:wrap="none" w:hAnchor="page" w:x="1112" w:y="9759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4"/>
        <w:keepNext w:val="0"/>
        <w:keepLines w:val="0"/>
        <w:framePr w:w="10248" w:h="4205" w:wrap="none" w:hAnchor="page" w:x="1112" w:y="9759"/>
        <w:widowControl w:val="0"/>
        <w:numPr>
          <w:ilvl w:val="0"/>
          <w:numId w:val="1"/>
        </w:numPr>
        <w:shd w:val="clear" w:color="auto" w:fill="auto"/>
        <w:tabs>
          <w:tab w:pos="8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Валиуллин Р.Р. - Заместитель руководителя Управления;</w:t>
      </w:r>
    </w:p>
    <w:p>
      <w:pPr>
        <w:pStyle w:val="Style14"/>
        <w:keepNext w:val="0"/>
        <w:keepLines w:val="0"/>
        <w:framePr w:w="10248" w:h="4205" w:wrap="none" w:hAnchor="page" w:x="1112" w:y="9759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4"/>
        <w:keepNext w:val="0"/>
        <w:keepLines w:val="0"/>
        <w:framePr w:w="10248" w:h="4205" w:wrap="none" w:hAnchor="page" w:x="1112" w:y="9759"/>
        <w:widowControl w:val="0"/>
        <w:numPr>
          <w:ilvl w:val="0"/>
          <w:numId w:val="1"/>
        </w:numPr>
        <w:shd w:val="clear" w:color="auto" w:fill="auto"/>
        <w:tabs>
          <w:tab w:pos="8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Иванчикова Е.А. - Начальник отдела Управления;</w:t>
      </w:r>
    </w:p>
    <w:p>
      <w:pPr>
        <w:pStyle w:val="Style14"/>
        <w:keepNext w:val="0"/>
        <w:keepLines w:val="0"/>
        <w:framePr w:w="10248" w:h="4205" w:wrap="none" w:hAnchor="page" w:x="1112" w:y="9759"/>
        <w:widowControl w:val="0"/>
        <w:numPr>
          <w:ilvl w:val="0"/>
          <w:numId w:val="1"/>
        </w:numPr>
        <w:shd w:val="clear" w:color="auto" w:fill="auto"/>
        <w:tabs>
          <w:tab w:pos="854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Смоль М.С.- Эксперт отдела Управления,</w:t>
      </w:r>
    </w:p>
    <w:p>
      <w:pPr>
        <w:pStyle w:val="Style14"/>
        <w:keepNext w:val="0"/>
        <w:keepLines w:val="0"/>
        <w:framePr w:w="10248" w:h="4205" w:wrap="none" w:hAnchor="page" w:x="1112" w:y="9759"/>
        <w:widowControl w:val="0"/>
        <w:numPr>
          <w:ilvl w:val="0"/>
          <w:numId w:val="1"/>
        </w:numPr>
        <w:shd w:val="clear" w:color="auto" w:fill="auto"/>
        <w:tabs>
          <w:tab w:pos="8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 Заявителя - посредством видеоконференц-связи Леонова О.А. на основании доверенно</w:t>
        <w:softHyphen/>
        <w:t>сти № 1/2024 от 20.09.2024 г.;</w:t>
      </w:r>
    </w:p>
    <w:p>
      <w:pPr>
        <w:pStyle w:val="Style14"/>
        <w:keepNext w:val="0"/>
        <w:keepLines w:val="0"/>
        <w:framePr w:w="10248" w:h="4205" w:wrap="none" w:hAnchor="page" w:x="1112" w:y="9759"/>
        <w:widowControl w:val="0"/>
        <w:numPr>
          <w:ilvl w:val="0"/>
          <w:numId w:val="1"/>
        </w:numPr>
        <w:shd w:val="clear" w:color="auto" w:fill="auto"/>
        <w:tabs>
          <w:tab w:pos="8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 Заказчика - посредством видеоконференц-связи Галеева Н.Ю. на основании доверенности № 07-19-исх-48 от 19.09.2024 г.;</w:t>
      </w:r>
    </w:p>
    <w:p>
      <w:pPr>
        <w:pStyle w:val="Style14"/>
        <w:keepNext w:val="0"/>
        <w:keepLines w:val="0"/>
        <w:framePr w:w="10248" w:h="4205" w:wrap="none" w:hAnchor="page" w:x="1112" w:y="9759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Уполномоченного органа — отсутствовали, уведомлены надлежащим образом,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975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35610" distB="0" distL="3175" distR="0" simplePos="0" relativeHeight="62914691" behindDoc="1" locked="0" layoutInCell="1" allowOverlap="1">
            <wp:simplePos x="0" y="0"/>
            <wp:positionH relativeFrom="page">
              <wp:posOffset>727075</wp:posOffset>
            </wp:positionH>
            <wp:positionV relativeFrom="margin">
              <wp:posOffset>3075305</wp:posOffset>
            </wp:positionV>
            <wp:extent cx="2597150" cy="18288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717550</wp:posOffset>
            </wp:positionH>
            <wp:positionV relativeFrom="margin">
              <wp:posOffset>9257030</wp:posOffset>
            </wp:positionV>
            <wp:extent cx="1517650" cy="29273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3" w:line="1" w:lineRule="exact"/>
      </w:pPr>
    </w:p>
    <w:p>
      <w:pPr>
        <w:widowControl w:val="0"/>
        <w:spacing w:line="1" w:lineRule="exact"/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294" w:right="541" w:bottom="1216" w:left="110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индивидуального предпринимателя Байкова Алексея Олеговича (ОГРНИП: 318784700367814, ИНН: 781020194268) от 18.09.2024 № 9352/24, на действия Заказчи</w:t>
        <w:softHyphen/>
        <w:t>ка - Бюджетного учреждения Ханты-Мансийского автономного округа - Югры «Сургутская окружная клиническая больница", Уполномоченного органа - Казенного учреждения Ханты-Ман</w:t>
        <w:softHyphen/>
        <w:t>сийского автономного округа - Югры «Центр лекарственного мониторинга» при проведении элек</w:t>
        <w:softHyphen/>
        <w:t>тронного аукциона, предметом которого является - Поставка катетеров ангиографических, одно</w:t>
        <w:softHyphen/>
        <w:t>разового использования (извещение № 0387200009124004802) и в результате осуществления вне</w:t>
        <w:softHyphen/>
        <w:t>плановой проверки в соответствии с пунктом 1 части 15 статьи 99 Федерального закона от 05.04.2013 ^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Ханты-Мансийскому автономному округу - Югре поступила жалоба индивидуального предпринимателя Байкова Алексея Олеговича (ОГРНИП: 318784700367814, ИНН: 781020194268) от 18.09.2024 № 9352/24, на действия Заказчика - Бюджетного учреждения Ханты-Мансийского автономного округа - Югры «Сургутская окружная клиническая больница", Уполномоченного органа - Казенного учреждения Ханты-Мансийского автономного округа - Югры «Центр лекарственного мониторинга» при проведении электронного аукциона, предметом которого является - Поставка катетеров ангиографических, одноразового использования (извещение № 0387200009124004802).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доводе жалобы Заявитель указал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Заявка Заявителя была отклонена неправомерно.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доводов сторон, материалов дела и проведения внеплановой проверки, Комиссией Управления установлено следующее.</w:t>
      </w:r>
      <w:bookmarkEnd w:id="1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12 статьи 48 Закона о контрактной системе проведение электронного аукци</w:t>
        <w:softHyphen/>
        <w:t>она при рассмотрении вторых частей заявок на участие в закупке соответствующая заявка подле</w:t>
        <w:softHyphen/>
        <w:t>жит отклонению в случаях: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</w:t>
        <w:softHyphen/>
        <w:t>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</w:t>
        <w:softHyphen/>
        <w:t>мации и документов требованиям, установленным в извещении об осуществлении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</w:t>
        <w:softHyphen/>
        <w:t>бованиям, установленным в извещении об осуществлении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</w:t>
        <w:softHyphen/>
        <w:t>ствлении закупки в соответствии с частью 1 статьи 31 настоящего Федерального закона, требова</w:t>
        <w:softHyphen/>
        <w:t>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ста</w:t>
        <w:softHyphen/>
        <w:t>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</w:t>
        <w:softHyphen/>
        <w:t>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28" w:val="left"/>
        </w:tabs>
        <w:bidi w:val="0"/>
        <w:spacing w:before="0" w:after="240" w:line="240" w:lineRule="auto"/>
        <w:ind w:left="0" w:right="0" w:firstLine="720"/>
        <w:jc w:val="both"/>
        <w:sectPr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10" w:right="536" w:bottom="1110" w:left="1106" w:header="682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статьи 2 Федерального закона от 4 июня 2018 года ^ 127-ФЗ "О мерах воздействия (противодей</w:t>
        <w:softHyphen/>
        <w:t>ствия) на недружественные действия Соединенных Штатов Америки и иных иностранных госу</w:t>
        <w:softHyphen/>
        <w:t>дарств", в случае осуществления закупки работ, услуг, включенных в перечень, определенный Пра</w:t>
        <w:softHyphen/>
        <w:t>вительством Российской Федерации в соответствии с указанным пунктом;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предусмотренных частью 6 статьи 45 настоящего Федерального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«а» пункта 1 части 5 статьи 49 Закона о контрактной системе не позднее двух рабочих дней со дня, следующего за датой окончания срока подачи заявок на уча</w:t>
        <w:softHyphen/>
        <w:t>стие в закупке, но не позднее даты подведения итогов определения поставщика (подрядчика, ис</w:t>
        <w:softHyphen/>
        <w:t>полнителя), установленной в извещении об осуществлении закупки члены комиссии по осуще</w:t>
        <w:softHyphen/>
        <w:t>ствлению закупок рассматривают заявки на участие в закупке, информацию и документы, направ</w:t>
        <w:softHyphen/>
        <w:t>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</w:t>
        <w:softHyphen/>
        <w:t>ренным пунктами 1 - 8 части 12 статьи 48 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частью 1 статьи 43 Закона о контрактной системе для участия в конкурент</w:t>
        <w:softHyphen/>
        <w:t>ном способе заявка на участие в закупке, если иное не предусмотрено настоящим Федеральным за</w:t>
        <w:softHyphen/>
        <w:t>коном, должна содержать: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предложение участника закупки в отношении объекта закупки: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а) с учетом положений части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</w:t>
        <w:softHyphen/>
        <w:t>ветствии с частью 2 статьи 33 настоящего Федерального закона, товарный знак (при наличии у то</w:t>
        <w:softHyphen/>
        <w:t>вара товарного знака).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довода жалобы Комиссия Управления поясняет следующее.</w:t>
      </w:r>
      <w:bookmarkEnd w:id="1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12.09.2024 №ИЭА1 на участие в аукционе было подано 5 заявок, из них соответствует требова</w:t>
        <w:softHyphen/>
        <w:t>ниям: 3; отклонено: 2. Заявка Заявителя отклонена по следующим основаниям: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«Несоответствие информации и документов требованиям, предусмотренным извещением об осуществлении закупки (за исключением информации и документов, предусмотренных п. 2 и 3 ч. 6 ст. 43 Закона № 44-ФЗ). (Отклонение по п. 1 ч. 12. ст. 48 Закона № 44-ФЗ). Несоответствие ин</w:t>
        <w:softHyphen/>
        <w:t>формации и документов требованиям, предусмотренным извещением об осуществлении закупки (за исключением информации и документов, предусмотренных п. 2 и 3 ч. 6 ст. 43 Закона № 44-ФЗ).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(Отклонение по п. 1 ч. 12. ст. 48 Закона № 44-ФЗ): Участник в заявке в графе «Товарный знак» указал: «Катетеры диагностические РегЕогта». В соответствии с регистрационным удостове</w:t>
        <w:softHyphen/>
        <w:t>рением ФСЗ 2011/10775 от 03.08.2015 является наименованием медицинского изделия. В соответ</w:t>
        <w:softHyphen/>
        <w:t>ствии с информацией, полученной с официального сайта Федерального института промышленной собственности (РОСПАТЕНТ) в Российской Федерации на данный товар зарегистрирован товар</w:t>
        <w:softHyphen/>
        <w:t>ный знак «МЕ1&lt;1ТМЕ1)1СЛЕ» правообладатель: Мерит Медикал Системз, Инк. Аналогичное мне</w:t>
        <w:softHyphen/>
        <w:t>ние отражено в решениях УФАС по ХМАО-Югре: № 086/06/48/-967/2024 от 19.06.2024 г., № 086/06//48-1182/2024 от 22.07.2024, № 086/06/48-1189/2024 от 22.07.2024, № 086/06/48-1188/2024 от 22.07.2024., УФАС по Новосибирской области № 054/06/43-1850/2024 от 22.07.2024».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Управления установлено, что Заявитель в своей заявке с идентификационным номером 117268218 предложил к поставке Катетеры диагностические РЕКТОКМЛ, приложив регистрационное удостоверение на медицинское изделие № ФСЗ 2011/10775 от 03.08.2016 г. и, указав товарный знак - Катетеры диагностические РЕКТОКМЛ.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тоже время участник с идентификационным номером 117267024 также предложил к по</w:t>
        <w:softHyphen/>
        <w:t>ставке аналогичный товар с регистрационным удостоверением № ФСЗ 2011/10775 от 03.08.2016 г., и при этом указав товарный знак МЕ1&lt;1ТМЕ1Ж'ЛЕ.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36" w:lineRule="auto"/>
        <w:ind w:left="0" w:right="0" w:firstLine="720"/>
        <w:jc w:val="both"/>
        <w:sectPr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526" w:left="1101" w:header="682" w:footer="9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регистрационным удостоверением № ФСЗ 2011/10775 от 03.08.2016 г. производителем является "Мерит Медикал Системз, Инк." США, Дальнее зарубежье, Меп1 МеШса1 2024-7023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8у81етз, 1пс., 1600 ^е§1 Меп1 Рагк^ау, 8ои1Ь ^о^дап, итак, 84095, и8А.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реестре товарных знаков на официальном сайте Роспатента размещены сведения о зареги</w:t>
        <w:softHyphen/>
        <w:t>стрированном действующем товарном знаке «МЕКIТМЕ^IСА^», правообладатель: Мерит Меди- кал Системз, Инк., 1600 Вест Мерит Парквей, Сауз Джордан, Юта 84095, Соединенные Штаты Америки (и8), реестровый номер 360906, действует до 19.07.2027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о наличии товарного знака у данного товара и факте введения в гражданский оборот медицинских изделий с соответствующей маркировкой свидетельствуют и фотографическое изоб</w:t>
        <w:softHyphen/>
        <w:t>ражение данного товарного знака в инструкции по эксплуатации к РУ № ФСЗ 2011/10775 от 03.08.2016 г., размещенной на официальном сайте Росздравнадзора.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реестре товарных знаков на официальном сайте Роспатента размещены сведения о зареги</w:t>
        <w:softHyphen/>
        <w:t>стрированном действующем товарном знаке «РЕКЕОКМА». Заявителем в заявке указан товарный знак «Катетеры диагностические РЕКЕОКМА», однако словосочетание катетеры диагностические не являются товарным знаком.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Заявителем не было доказано, что на планируемом к поставке товаре будет использо</w:t>
        <w:softHyphen/>
        <w:t>ваться товарный знак Перформа.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в заявке ИП Байкова А.О. в структурированной форме в графе «Товарный знак» указано наименование товара, в составе которого присутствует словосочетание, не являюще</w:t>
        <w:softHyphen/>
        <w:t>еся товарным знаком, зарегистрированным федеральным органом исполнительной власти по ин</w:t>
        <w:softHyphen/>
        <w:t>теллектуальной собственности, а также в других случаях, предусмотренных международным дого</w:t>
        <w:softHyphen/>
        <w:t>вором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довод Заявителя является необоснованным, Заказчиком правомерно отклонена заявка ИП Байкова А.О.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индивидуального предпринимателя Байкова Алексея Олеговича (ОГРНИП: 318784700367814, ИНН: 781020194268) от 18.09.2024 № 9352/24 рассмотрена Комиссией Управления в соответствии с требованиями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материалы дела, изучив представленные документы представителей сторон, руководствуясь положениями статьи 106 Закона о контрактной системе, Комиссия Управления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6" w:name="bookmark1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6"/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0" w:val="left"/>
          <w:tab w:pos="784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индивидуального предпринимателя Байкова Алексея Олеговича (ОГРНИП: 318784700367814, ИНН: 781020194268) от 18.09.2024 № 9352/24, на действия Заказчика - Бюджетного учреждения Ханты-Мансийского автономного округа - Югры «Сургутская окружная клиническая больница", Уполномоченного органа - Казенного учреждения Ханты-Мансийского автономного округа - Югры «Центр лекарственного мониторинга» при проведении электронного аукциона, предметом которого является - Поставка катетеров ангиографических, одноразового использования (извещение №</w:t>
        <w:tab/>
        <w:t>0387200009124004802)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0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Направить данное решение сторонам и опубликовать на официальном сайте единой информационной системы в сфере закупок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(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</w:t>
      </w:r>
      <w:r>
        <w:rPr>
          <w:smallCaps/>
          <w:color w:val="00008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ru-RU" w:eastAsia="ru-RU" w:bidi="ru-RU"/>
        </w:rPr>
        <w:t>\у\у\у.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хакиркгдоу. ги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120140" distL="0" distR="0" simplePos="0" relativeHeight="125829378" behindDoc="0" locked="0" layoutInCell="1" allowOverlap="1">
                <wp:simplePos x="0" y="0"/>
                <wp:positionH relativeFrom="page">
                  <wp:posOffset>706755</wp:posOffset>
                </wp:positionH>
                <wp:positionV relativeFrom="paragraph">
                  <wp:posOffset>0</wp:posOffset>
                </wp:positionV>
                <wp:extent cx="1600200" cy="21653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020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649999999999999pt;margin-top:0;width:126.pt;height:17.050000000000001pt;z-index:-125829375;mso-wrap-distance-left:0;mso-wrap-distance-right:0;mso-wrap-distance-bottom:88.200000000000003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120140" distL="0" distR="0" simplePos="0" relativeHeight="125829380" behindDoc="0" locked="0" layoutInCell="1" allowOverlap="1">
                <wp:simplePos x="0" y="0"/>
                <wp:positionH relativeFrom="page">
                  <wp:posOffset>5952490</wp:posOffset>
                </wp:positionH>
                <wp:positionV relativeFrom="paragraph">
                  <wp:posOffset>0</wp:posOffset>
                </wp:positionV>
                <wp:extent cx="993775" cy="21653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377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8.69999999999999pt;margin-top:0;width:78.25pt;height:17.050000000000001pt;z-index:-125829373;mso-wrap-distance-left:0;mso-wrap-distance-right:0;mso-wrap-distance-bottom:88.200000000000003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Р.Р. Валиуллин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01040" distB="419100" distL="0" distR="0" simplePos="0" relativeHeight="125829382" behindDoc="0" locked="0" layoutInCell="1" allowOverlap="1">
                <wp:simplePos x="0" y="0"/>
                <wp:positionH relativeFrom="page">
                  <wp:posOffset>706755</wp:posOffset>
                </wp:positionH>
                <wp:positionV relativeFrom="paragraph">
                  <wp:posOffset>701040</wp:posOffset>
                </wp:positionV>
                <wp:extent cx="1179830" cy="21653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983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5.649999999999999pt;margin-top:55.200000000000003pt;width:92.900000000000006pt;height:17.050000000000001pt;z-index:-125829371;mso-wrap-distance-left:0;mso-wrap-distance-top:55.200000000000003pt;mso-wrap-distance-right:0;mso-wrap-distance-bottom:33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01040" distB="419100" distL="0" distR="0" simplePos="0" relativeHeight="125829384" behindDoc="0" locked="0" layoutInCell="1" allowOverlap="1">
                <wp:simplePos x="0" y="0"/>
                <wp:positionH relativeFrom="page">
                  <wp:posOffset>5961380</wp:posOffset>
                </wp:positionH>
                <wp:positionV relativeFrom="paragraph">
                  <wp:posOffset>701040</wp:posOffset>
                </wp:positionV>
                <wp:extent cx="1121410" cy="21653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14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Е.А. Иванчикова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9.40000000000003pt;margin-top:55.200000000000003pt;width:88.299999999999997pt;height:17.050000000000001pt;z-index:-125829369;mso-wrap-distance-left:0;mso-wrap-distance-top:55.200000000000003pt;mso-wrap-distance-right:0;mso-wrap-distance-bottom:33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Е.А. Иванчикова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83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М.С. Смоль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принятия.</w:t>
      </w:r>
    </w:p>
    <w:sectPr>
      <w:footerReference w:type="default" r:id="rId14"/>
      <w:footnotePr>
        <w:pos w:val="pageBottom"/>
        <w:numFmt w:val="decimal"/>
        <w:numRestart w:val="continuous"/>
      </w:footnotePr>
      <w:pgSz w:w="11900" w:h="16840"/>
      <w:pgMar w:top="1110" w:right="543" w:bottom="3872" w:left="1099" w:header="682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008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2024-7023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57.pt;margin-top:776.20000000000005pt;width:50.3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008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2024-7023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88.70000000000005pt;width:50.39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008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2024-7023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pt;margin-top:788.70000000000005pt;width:50.39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9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line="266" w:lineRule="auto"/>
      <w:jc w:val="center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oter" Target="footer3.xml"/><Relationship Id="rId14" Type="http://schemas.openxmlformats.org/officeDocument/2006/relationships/footer" Target="footer4.xml"/></Relationships>
</file>