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ГЗ/12433/2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Засецкий Станислав Алексеевич 109388, г. Москва, ул. полбина, 9. корп., 1, 110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^р-xа8е^8ку@уап4еx.^и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Ставропольского края "Ессентукская городская клиническая больница" 357600 Ставропольский край, г.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62" w:right="695" w:bottom="1216" w:left="1140" w:header="734" w:footer="3" w:gutter="0"/>
          <w:pgNumType w:start="1"/>
          <w:cols w:num="2" w:space="720" w:equalWidth="0">
            <w:col w:w="4262" w:space="1003"/>
            <w:col w:w="4800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Ессентуки, ул. Октябрьская, д. 464 Ы8@е88де1Ьо1.ги, 8есге1аг@е8догЪо1.ги, т&amp;@е8догЪо1.ги,есдЪ464@дтай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026/06/106-2296/2024</w:t>
        <w:br/>
        <w:t>о нарушении законодательства о закупках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549" w:val="left"/>
        </w:tabs>
        <w:bidi w:val="0"/>
        <w:spacing w:before="0" w:after="32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23.09.2024 года</w:t>
        <w:tab/>
        <w:t>г. Ставрополь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— Гулаксизова Л.В.,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ИП Засецкий С.А. - в отсутствии представителя,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ИП Засецкого С.А. на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493" w:bottom="1216" w:left="1101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действия заказчика ГБУЗ СК «Ессентукская городская клиническая больница» </w:t>
      </w:r>
      <w:r>
        <w:rPr>
          <w:color w:val="04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факту осуществления закупки путем проведения открытого аукциона в электронной форме </w:t>
      </w:r>
      <w:r>
        <w:fldChar w:fldCharType="begin"/>
      </w:r>
      <w:r>
        <w:rPr/>
        <w:instrText> HYPERLINK "https://zakupki.gov.ru/epz/order/notice/ea20/view/common-info.html?regNumber=0321300018324000316"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0321300018324000316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дезинфицирующих средств».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по осуществлению закупки, совершенные при рассмотрении заявок на участие в закупке при проведении электронного аукциона.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в порядке ст. ст. 105, 106 Закона № 44-ФЗ принята к рассмотрению и назначена на 23.09.2024 г. с вызовом сторон по делу.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23.09.2024 г. комиссия, выслушав пояснения заказчика, рассмотрев доводы жалобы, проанализировав имеющиеся в деле документы, проведя в соответствии со ст. 99 Закона внеплановую проверку закупки установила следующее: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10.09.2024 г. заказчиком в ЕИС было размещено извещение о проведении </w:t>
      </w:r>
      <w:r>
        <w:rPr>
          <w:color w:val="04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открытого аукциона в электронной форме </w:t>
      </w:r>
      <w:r>
        <w:fldChar w:fldCharType="begin"/>
      </w:r>
      <w:r>
        <w:rPr/>
        <w:instrText> HYPERLINK "https://zakupki.gov.ru/epz/order/notice/ea20/view/common-info.html?regNumber=0321300018324000316"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0321300018324000316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дезинфицирующих средств».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НМЦК 226 200,00 ₽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заказчику к поставке: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Средство дезинфицирующее Идентификатор: 160642360 с применением позиции КТРУ 20.20.14.000-00000005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Средство дезинфицирующее Идентификатор: 160642361 с применением позиции КТРУ 20.20.14.000-00000005.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3 ст. 7 Закона №44-ФЗ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1,3 ч. 2 ст. 42 Закона №44-ФЗ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1) описание объекта закупки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1 статьи 33 Закона №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0080" w:val="left"/>
        </w:tabs>
        <w:bidi w:val="0"/>
        <w:spacing w:before="0" w:after="0" w:line="271" w:lineRule="auto"/>
        <w:ind w:left="0" w:right="0" w:firstLine="720"/>
        <w:jc w:val="both"/>
        <w:rPr>
          <w:sz w:val="24"/>
          <w:szCs w:val="24"/>
        </w:rPr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105" w:right="532" w:bottom="603" w:left="1106" w:header="677" w:footer="17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части 2 статьи 33 Закона № 44-ФЗ описание объекта закупки в соответствии с требованиями, указанными в </w:t>
      </w:r>
      <w:r>
        <w:rPr>
          <w:color w:val="0000FF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части 1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настоящей статьи, должно содержать показатели, позволяющие определить соответствие закупаемых товара,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2024-14053</w:t>
        <w:tab/>
        <w:t>2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12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при формировании технического задания заказчику в рамках Закона № 44-ФЗ предоставлены полномочия по самостоятельному определению параметров и характеристик товара в наибольшей степени удовлетворяющих его потребности. Вместе с тем, в силу Закона №44-ФЗ заказчики, осуществляющие закупку по правилам Закона № 44-ФЗ,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ему необходимы, а с другой стороны, не ограничить количество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доводам заявителя установлено следующее: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на то что заказник закупает товары двух различных товаров (с различными КТРУ) в одном лоте (позиции).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комиссия установила, что в описании объекта закупки Заказчик указал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следующие характеристики: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Таблица №2</w:t>
      </w:r>
    </w:p>
    <w:tbl>
      <w:tblPr>
        <w:tblOverlap w:val="never"/>
        <w:jc w:val="left"/>
        <w:tblLayout w:type="fixed"/>
      </w:tblPr>
      <w:tblGrid>
        <w:gridCol w:w="1733"/>
        <w:gridCol w:w="5525"/>
        <w:gridCol w:w="1963"/>
      </w:tblGrid>
      <w:tr>
        <w:trPr>
          <w:trHeight w:val="8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Порядковый № объекта в ЕИС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</w:tr>
      <w:tr>
        <w:trPr>
          <w:trHeight w:val="323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 и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tabs>
                <w:tab w:pos="3557" w:val="left"/>
              </w:tabs>
              <w:bidi w:val="0"/>
              <w:spacing w:before="0" w:after="0" w:line="257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 xml:space="preserve">Каждая канистра средства должна быть укомплектована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 xml:space="preserve">каталазным индикатором 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для определения качественных</w:t>
              <w:tab/>
              <w:t>характеристик</w:t>
            </w:r>
          </w:p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tabs>
                <w:tab w:pos="1858" w:val="left"/>
                <w:tab w:pos="3485" w:val="left"/>
              </w:tabs>
              <w:bidi w:val="0"/>
              <w:spacing w:before="0" w:after="0" w:line="257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санитарного</w:t>
              <w:tab/>
              <w:t>состояния</w:t>
              <w:tab/>
              <w:t>обрабатываемых</w:t>
            </w:r>
          </w:p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tabs>
                <w:tab w:pos="1013" w:val="left"/>
                <w:tab w:pos="2722" w:val="left"/>
                <w:tab w:pos="4090" w:val="left"/>
              </w:tabs>
              <w:bidi w:val="0"/>
              <w:spacing w:before="0" w:after="0" w:line="257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поверхностей, в соответствии с требованием пункта 3534 СанПиН 3.3686-21. «Санитарно</w:t>
              <w:softHyphen/>
              <w:t>эпидемиологические требования по профилактике инфекционных болезней» и с рекомендациями «МР</w:t>
              <w:tab/>
              <w:t>4.2.0161-19</w:t>
              <w:tab/>
              <w:t>Методы</w:t>
              <w:tab/>
              <w:t>индикации</w:t>
            </w:r>
          </w:p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биологических пленок микроорганизмов на абиотических объектах».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</w:t>
            </w:r>
          </w:p>
        </w:tc>
      </w:tr>
      <w:tr>
        <w:trPr>
          <w:trHeight w:val="26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tabs>
                <w:tab w:pos="2035" w:val="left"/>
                <w:tab w:pos="3547" w:val="left"/>
              </w:tabs>
              <w:bidi w:val="0"/>
              <w:spacing w:before="0" w:after="0" w:line="257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Детекция бактериальной биопленки должна быть основана на появлении барботирования на обработанной поверхности в результате реакции клеточных бактериальных ферментов с действующим веществом индикатора. Степень интенсивности барботирования должна зависеть от степени обсеменения и должна позволять обнаруживать</w:t>
              <w:tab/>
              <w:t>реакцию</w:t>
              <w:tab/>
              <w:t>невооруженным</w:t>
            </w:r>
          </w:p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визуальным контролем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78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 состав индикатора должны входить вещества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, разрушающие экзополисахаридный матрикс биопленки и тем самым способствовать максимальной реакции основного действующего вещества с ферментами антиоксидантной системы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733"/>
        <w:gridCol w:w="5525"/>
        <w:gridCol w:w="1963"/>
      </w:tblGrid>
      <w:tr>
        <w:trPr>
          <w:trHeight w:val="176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tabs>
                <w:tab w:pos="2078" w:val="left"/>
                <w:tab w:pos="3403" w:val="left"/>
              </w:tabs>
              <w:bidi w:val="0"/>
              <w:spacing w:before="0" w:after="0" w:line="257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бактериальной</w:t>
              <w:tab/>
              <w:t>клетки:</w:t>
              <w:tab/>
              <w:t>\-Соеоа1ку1-\.\-</w:t>
            </w:r>
          </w:p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tabs>
                <w:tab w:pos="2640" w:val="left"/>
                <w:tab w:pos="3922" w:val="left"/>
                <w:tab w:pos="4594" w:val="left"/>
              </w:tabs>
              <w:bidi w:val="0"/>
              <w:spacing w:before="0" w:after="0" w:line="257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Ште1йу1аттеохШе,</w:t>
              <w:tab/>
              <w:t>Н2О2,</w:t>
              <w:tab/>
              <w:t>,</w:t>
              <w:tab/>
              <w:t>также</w:t>
            </w:r>
          </w:p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функциональные и технологические компоненты, включая стабилизаторы пероксида водорода, ингибиторы коррозии, комплексообразователь, загуститель и пр.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Индикатор должен позволять обнаруживать как моновидовые, так и поливидовые биопленки, каталаза-позитивных бактерий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описания характеристик, Заказчик требует наличие в комплекте с дезсредством - Каталазного (ферментного, биологического) индикатора, о чем свидетельствуют характеристики (таб.2).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 указывает на соответствие с пунктом 3534 СанПин 3.3686</w:t>
        <w:softHyphen/>
        <w:t>21, но в данном пункте не указана обязанность поставщиков укомплектовывать дезинфицирующие средства сопутствующими биологическими индикаторами, в пункте 3534 указывается необходимость проведение процедур индикации и разрушения (деструкции) матрикса биопленок с последующим выявлением.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3534 СанПин 3.3686-21: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«... В связи с тем, что бактерии на абиотических поверхностях (медицинское оборудование, мебель, инструментарий, включая эндоскопы) могут находиться в форме микробных ассоциаций - биологических пленок, дополнительно 1 раз в 6 месяцев и по эпидемическим показаниям проводят процедуры индикации и разрушения (деструкции) матрикса биопленок с последующим выявлением свободноживущих микроорганизмов . 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Каталазный индикатор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- это средство, которое является самостоятельным препаратом. Он используется для визуальной индикации мест локализации биоплёнок, а также позволяет обнаруживать бактериальную контаминацию и бактерии в состоянии биологической плёнки на различных поверхностях - проведения высокодостоверных микробиологических смывов.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проводит закупку двух средств (препаратов) в одной позиции, с разными КТРУ/ОКПД2 при этом одно из них не входит в Перечень 617 ПП РФ, а именно: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КТРУ 32.50.50.190-00001036 «Индикатор биологический для контроля стерилизации»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ОКПД2 32.50.50.190 (отсутствует в перечне 617 ПП)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таб. 2 я привел характеристику из ООЗ, в которой Заказчик даже детализирует состав данного индикатора, что является подтверждением того, что это самостоятельный препарат.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данный довод заявителя обоснован.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действиях заказчика установлены нарушения требований ст. 33, 42 Закона №44-ФЗ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же комиссия отмечает, что доводы участвующих лиц, приведенные в ходе рассмотрения дела в письменной либо устной форме, не нашедшие отражения в настоящем решении, не могли повлиять на изложенные выводы в принятом решении и являются необоснованными.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105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жалобу ИП Засецкого С.А. на действия заказчика ГБУЗ СК «Ессентукская городская клиническая больница» </w:t>
      </w:r>
      <w:r>
        <w:rPr>
          <w:color w:val="04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факту осуществления закупки путем проведения открытого аукциона в электронной форме </w:t>
      </w:r>
      <w:r>
        <w:fldChar w:fldCharType="begin"/>
      </w:r>
      <w:r>
        <w:rPr/>
        <w:instrText> HYPERLINK "https://zakupki.gov.ru/epz/order/notice/ea20/view/common-info.html?regNumber=0321300018324000316"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0321300018324000316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дезинфицирующих средств» - обоснованной в части довода 2.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проведения в порядке статьи 99 Закона № 44-ФЗ внеплановой проверки признать действия заказчика - ГБУЗ СК «Ессентукская городская клиническая больница» нарушившими требования ст. 33, 42 Закона №44- ФЗ, в связи с чем выдать Заказчику обязательное для исполнения предписание.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должностному лицу для возбуждении дела об административном правонарушении.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017" w:right="541" w:bottom="1127" w:left="1105" w:header="589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62585" distL="0" distR="0" simplePos="0" relativeHeight="125829378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88900</wp:posOffset>
                </wp:positionV>
                <wp:extent cx="1828800" cy="24701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899999999999999pt;margin-top:7.pt;width:144.pt;height:19.449999999999999pt;z-index:-125829375;mso-wrap-distance-left:0;mso-wrap-distance-top:7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0" behindDoc="0" locked="0" layoutInCell="1" allowOverlap="1">
            <wp:simplePos x="0" y="0"/>
            <wp:positionH relativeFrom="page">
              <wp:posOffset>2658745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564515</wp:posOffset>
                </wp:positionV>
                <wp:extent cx="128333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34999999999999pt;margin-top:44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253365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pt;margin-top:19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9090" distB="137160" distL="0" distR="0" simplePos="0" relativeHeight="125829381" behindDoc="0" locked="0" layoutInCell="1" allowOverlap="1">
                <wp:simplePos x="0" y="0"/>
                <wp:positionH relativeFrom="page">
                  <wp:posOffset>6285865</wp:posOffset>
                </wp:positionH>
                <wp:positionV relativeFrom="paragraph">
                  <wp:posOffset>339090</wp:posOffset>
                </wp:positionV>
                <wp:extent cx="905510" cy="2222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4.94999999999999pt;margin-top:26.699999999999999pt;width:71.299999999999997pt;height:17.5pt;z-index:-125829372;mso-wrap-distance-left:0;mso-wrap-distance-top:26.69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1818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40С65А14ВСЕ717516А6Е9ВВ2Е01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ЭВСА4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09.09.2024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2658745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34999999999999pt;margin-top:36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 Карпель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1818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00ВЕ2ОЗЕС52ЕЮА63А577ОЕСАВ4ЮЗЕ72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 07.02.2024 по 02.05.2025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center"/>
      </w:pPr>
      <w:r>
        <w:drawing>
          <wp:anchor distT="0" distB="0" distL="114300" distR="1918970" simplePos="0" relativeHeight="125829384" behindDoc="0" locked="0" layoutInCell="1" allowOverlap="1">
            <wp:simplePos x="0" y="0"/>
            <wp:positionH relativeFrom="page">
              <wp:posOffset>2680335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pt;margin-top:11.5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 Калиниченко</w:t>
      </w:r>
    </w:p>
    <w:p>
      <w:pPr>
        <w:pStyle w:val="Style4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1818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по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35-28-07, вн.026-285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03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628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2024-14053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6.20000000000005pt;width:56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2024-14053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10041255</wp:posOffset>
              </wp:positionV>
              <wp:extent cx="646493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9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8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2024-14053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050000000000004pt;margin-top:790.64999999999998pt;width:509.05000000000001pt;height:8.40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8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2024-14053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7">
    <w:name w:val="Подпись к картинке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31">
    <w:name w:val="Подпись к таблице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3">
    <w:name w:val="Другое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8">
    <w:name w:val="Основной текст (2)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character" w:customStyle="1" w:styleId="CharStyle45">
    <w:name w:val="Основной текст (6)_"/>
    <w:basedOn w:val="DefaultParagraphFont"/>
    <w:link w:val="Style4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6">
    <w:name w:val="Подпись к картинке"/>
    <w:basedOn w:val="Normal"/>
    <w:link w:val="CharStyle2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30">
    <w:name w:val="Подпись к таблице"/>
    <w:basedOn w:val="Normal"/>
    <w:link w:val="CharStyle31"/>
    <w:pPr>
      <w:widowControl w:val="0"/>
      <w:shd w:val="clear" w:color="auto" w:fill="auto"/>
      <w:ind w:firstLine="3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2">
    <w:name w:val="Другое"/>
    <w:basedOn w:val="Normal"/>
    <w:link w:val="CharStyle3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7">
    <w:name w:val="Основной текст (2)"/>
    <w:basedOn w:val="Normal"/>
    <w:link w:val="CharStyle3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paragraph" w:customStyle="1" w:styleId="Style44">
    <w:name w:val="Основной текст (6)"/>
    <w:basedOn w:val="Normal"/>
    <w:link w:val="CharStyle45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image" Target="media/image1.jpeg"/><Relationship Id="rId9" Type="http://schemas.openxmlformats.org/officeDocument/2006/relationships/image" Target="media/image1.jpeg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