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4067175</wp:posOffset>
                </wp:positionH>
                <wp:positionV relativeFrom="paragraph">
                  <wp:posOffset>12700</wp:posOffset>
                </wp:positionV>
                <wp:extent cx="1469390" cy="1066800"/>
                <wp:wrapSquare wrapText="bothSides"/>
                <wp:docPr id="7" name="Shape 7"/>
                <a:graphic xmlns:a="http://schemas.openxmlformats.org/drawingml/2006/main">
                  <a:graphicData uri="http://schemas.microsoft.com/office/word/2010/wordprocessingShape">
                    <wps:wsp>
                      <wps:cNvSpPr txBox="1"/>
                      <wps:spPr>
                        <a:xfrm>
                          <a:ext cx="1469390" cy="1066800"/>
                        </a:xfrm>
                        <a:prstGeom prst="rect"/>
                        <a:noFill/>
                      </wps:spPr>
                      <wps:txbx>
                        <w:txbxContent>
                          <w:p>
                            <w:pPr>
                              <w:pStyle w:val="Style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«Армтэкс» т16@агт1;еск8.ги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 «ГЛАВАПУ»</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1&lt;о@д1а\'ари.1по8.П1</w:t>
                            </w:r>
                          </w:p>
                        </w:txbxContent>
                      </wps:txbx>
                      <wps:bodyPr lIns="0" tIns="0" rIns="0" bIns="0">
                        <a:noAutoFit/>
                      </wps:bodyPr>
                    </wps:wsp>
                  </a:graphicData>
                </a:graphic>
              </wp:anchor>
            </w:drawing>
          </mc:Choice>
          <mc:Fallback>
            <w:pict>
              <v:shape id="_x0000_s1033" type="#_x0000_t202" style="position:absolute;margin-left:320.25pt;margin-top:1.pt;width:115.7pt;height:84.pt;z-index:-125829375;mso-wrap-distance-left:0;mso-wrap-distance-right:0;mso-position-horizontal-relative:page" filled="f" stroked="f">
                <v:textbox inset="0,0,0,0">
                  <w:txbxContent>
                    <w:p>
                      <w:pPr>
                        <w:pStyle w:val="Style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«Армтэкс» т16@агт1;еск8.ги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 «ГЛАВАПУ»</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1&lt;о@д1а\'ари.1по8.П1</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1380" w:right="0" w:firstLine="0"/>
        <w:jc w:val="left"/>
      </w:pPr>
      <w:r>
        <w:rPr>
          <w:b/>
          <w:bCs/>
          <w:spacing w:val="0"/>
          <w:w w:val="100"/>
          <w:position w:val="0"/>
          <w:shd w:val="clear" w:color="auto" w:fill="auto"/>
          <w:lang w:val="ru-RU" w:eastAsia="ru-RU" w:bidi="ru-RU"/>
        </w:rPr>
        <w:t>ФЕДЕРАЛЬНАЯ</w:t>
      </w:r>
    </w:p>
    <w:p>
      <w:pPr>
        <w:pStyle w:val="Style7"/>
        <w:keepNext w:val="0"/>
        <w:keepLines w:val="0"/>
        <w:widowControl w:val="0"/>
        <w:shd w:val="clear" w:color="auto" w:fill="auto"/>
        <w:bidi w:val="0"/>
        <w:spacing w:before="0" w:after="200" w:line="240" w:lineRule="auto"/>
        <w:ind w:left="0" w:right="0" w:firstLine="500"/>
        <w:jc w:val="left"/>
      </w:pPr>
      <w:r>
        <w:rPr>
          <w:b/>
          <w:bCs/>
          <w:spacing w:val="0"/>
          <w:w w:val="100"/>
          <w:position w:val="0"/>
          <w:shd w:val="clear" w:color="auto" w:fill="auto"/>
          <w:lang w:val="ru-RU" w:eastAsia="ru-RU" w:bidi="ru-RU"/>
        </w:rPr>
        <w:t>АНТИМОНОПОЛЬНАЯ СЛУЖБА</w:t>
      </w:r>
    </w:p>
    <w:p>
      <w:pPr>
        <w:pStyle w:val="Style7"/>
        <w:keepNext w:val="0"/>
        <w:keepLines w:val="0"/>
        <w:widowControl w:val="0"/>
        <w:shd w:val="clear" w:color="auto" w:fill="auto"/>
        <w:bidi w:val="0"/>
        <w:spacing w:before="0" w:after="200" w:line="240" w:lineRule="auto"/>
        <w:ind w:left="1380" w:right="0" w:firstLine="0"/>
        <w:jc w:val="left"/>
      </w:pPr>
      <w:r>
        <w:rPr>
          <w:b/>
          <w:bCs/>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after="200" w:line="240" w:lineRule="auto"/>
        <w:ind w:left="1560" w:right="0" w:firstLine="0"/>
        <w:jc w:val="left"/>
      </w:pPr>
      <w:r>
        <w:rPr>
          <w:b/>
          <w:bCs/>
          <w:spacing w:val="0"/>
          <w:w w:val="100"/>
          <w:position w:val="0"/>
          <w:shd w:val="clear" w:color="auto" w:fill="auto"/>
          <w:lang w:val="ru-RU" w:eastAsia="ru-RU" w:bidi="ru-RU"/>
        </w:rPr>
        <w:t>по г. Москве</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11"/>
        <w:keepNext/>
        <w:keepLines/>
        <w:widowControl w:val="0"/>
        <w:shd w:val="clear" w:color="auto" w:fill="auto"/>
        <w:tabs>
          <w:tab w:pos="2003" w:val="left"/>
        </w:tabs>
        <w:bidi w:val="0"/>
        <w:spacing w:before="0" w:after="0" w:line="240" w:lineRule="auto"/>
        <w:ind w:left="0" w:right="0"/>
        <w:jc w:val="left"/>
        <w:sectPr>
          <w:footnotePr>
            <w:pos w:val="pageBottom"/>
            <w:numFmt w:val="decimal"/>
            <w:numRestart w:val="continuous"/>
          </w:footnotePr>
          <w:type w:val="continuous"/>
          <w:pgSz w:w="11900" w:h="16840"/>
          <w:pgMar w:top="298" w:right="5494" w:bottom="621" w:left="1106" w:header="0" w:footer="3" w:gutter="0"/>
          <w:cols w:space="720"/>
          <w:noEndnote/>
          <w:rtlGutter w:val="0"/>
          <w:docGrid w:linePitch="360"/>
        </w:sectP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26.07.2024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30412/24</w:t>
      </w:r>
      <w:bookmarkEnd w:id="0"/>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5" behindDoc="1" locked="0" layoutInCell="1" allowOverlap="1">
            <wp:simplePos x="0" y="0"/>
            <wp:positionH relativeFrom="page">
              <wp:posOffset>727075</wp:posOffset>
            </wp:positionH>
            <wp:positionV relativeFrom="paragraph">
              <wp:posOffset>12700</wp:posOffset>
            </wp:positionV>
            <wp:extent cx="2597150" cy="7010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41" w:bottom="649" w:left="1106" w:header="0" w:footer="3" w:gutter="0"/>
          <w:cols w:space="720"/>
          <w:noEndnote/>
          <w:rtlGutter w:val="0"/>
          <w:docGrid w:linePitch="360"/>
        </w:sectPr>
      </w:pPr>
    </w:p>
    <w:p>
      <w:pPr>
        <w:widowControl w:val="0"/>
        <w:spacing w:before="74" w:after="7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58" w:right="0" w:bottom="822"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077/06/106-10044/2024 о нарушении</w:t>
        <w:br/>
        <w:t>законодательства о контрактной системе</w:t>
        <w:br/>
        <w:t>24.07.204</w:t>
        <w:tab/>
        <w:t>г. Москва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разряда отдела обжалования государственных закупок М.С. Сорбучевой,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 при участии представителей: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«АРМТЭКС»: Ярыкиной Н. Р (по доверенности от 01.01.2021 №б/н);</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 «ГЛАВАПУ»: Потеряхиной Н.П. (по доверенности от 30.06.2022 №69-Д), Зубррина М.А. (по доверенности от 24.03.2024 №52-Д),</w:t>
      </w:r>
    </w:p>
    <w:p>
      <w:pPr>
        <w:pStyle w:val="Style5"/>
        <w:keepNext w:val="0"/>
        <w:keepLines w:val="0"/>
        <w:widowControl w:val="0"/>
        <w:shd w:val="clear" w:color="auto" w:fill="auto"/>
        <w:bidi w:val="0"/>
        <w:spacing w:before="0" w:after="1000" w:line="240" w:lineRule="auto"/>
        <w:ind w:left="0" w:right="0" w:firstLine="700"/>
        <w:jc w:val="both"/>
      </w:pPr>
      <w:r>
        <w:rPr>
          <w:color w:val="000000"/>
          <w:spacing w:val="0"/>
          <w:w w:val="100"/>
          <w:position w:val="0"/>
          <w:shd w:val="clear" w:color="auto" w:fill="auto"/>
          <w:lang w:val="ru-RU" w:eastAsia="ru-RU" w:bidi="ru-RU"/>
        </w:rPr>
        <w:t>рассмотрев жалобу ООО «АРМТЭКС» (далее — Заявитель) на действия ГБУ «ГЛАВАПУ» (далее — Заказчик) при проведении электронного аукциона на право заключения государственного контракта на поставку радиоэлектронной продукции (Закупка № 0373500001524000022)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(далее-Закон о контрактной системе),</w:t>
      </w:r>
    </w:p>
    <w:p>
      <w:pPr>
        <w:pStyle w:val="Style15"/>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в составе жалобы указывает, что Заказчиком установлены условия допуска предусмотренные приказом Министерства Финансов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 этом Заказчиком неверно определен код ОКПД2 на АРМ, что привело к объединению в один лот вычислительной техники (компьютер), на которые не распространяются условия допуска, и товаров (монитор, ИБП, принтер), на которые такие условия распространяются.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5"/>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106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3"/>
        </w:numPr>
        <w:shd w:val="clear" w:color="auto" w:fill="auto"/>
        <w:tabs>
          <w:tab w:pos="106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1057" w:val="left"/>
        </w:tabs>
        <w:bidi w:val="0"/>
        <w:spacing w:before="0" w:after="0" w:line="310" w:lineRule="auto"/>
        <w:ind w:left="0" w:right="0" w:firstLine="700"/>
        <w:jc w:val="both"/>
        <w:rPr>
          <w:sz w:val="22"/>
          <w:szCs w:val="22"/>
        </w:rPr>
        <w:sectPr>
          <w:footnotePr>
            <w:pos w:val="pageBottom"/>
            <w:numFmt w:val="decimal"/>
            <w:numRestart w:val="continuous"/>
          </w:footnotePr>
          <w:type w:val="continuous"/>
          <w:pgSz w:w="11900" w:h="16840"/>
          <w:pgMar w:top="1158" w:right="544" w:bottom="822" w:left="1104"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осуществление закупки медицинских изделий, специализированных продуктов лечебного питания, необходимых для назначения пациенту по </w:t>
      </w:r>
      <w:r>
        <w:rPr>
          <w:rFonts w:ascii="Cambria" w:eastAsia="Cambria" w:hAnsi="Cambria" w:cs="Cambria"/>
          <w:color w:val="000000"/>
          <w:spacing w:val="0"/>
          <w:w w:val="100"/>
          <w:position w:val="0"/>
          <w:sz w:val="22"/>
          <w:szCs w:val="22"/>
          <w:shd w:val="clear" w:color="auto" w:fill="auto"/>
          <w:lang w:val="ru-RU" w:eastAsia="ru-RU" w:bidi="ru-RU"/>
        </w:rPr>
        <w:t>2024-34651</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w:t>
      </w:r>
      <w:r>
        <w:rPr>
          <w:color w:val="000000"/>
          <w:spacing w:val="0"/>
          <w:w w:val="100"/>
          <w:position w:val="0"/>
          <w:shd w:val="clear" w:color="auto" w:fill="auto"/>
          <w:lang w:val="ru-RU" w:eastAsia="ru-RU" w:bidi="ru-RU"/>
        </w:rPr>
        <w:t>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№1, приложении №2 к Приказу №126н.</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приказа №126н для целей применения настоящего приказа не могут быть предметом одного контракта (одного лота) товары, указанные в Приложениях и не указанные в них.</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извещении о проведении электронного аукциона определено, что предметом является поставка рлмтавка вычислительной техники:</w:t>
      </w:r>
    </w:p>
    <w:p>
      <w:pPr>
        <w:pStyle w:val="Style5"/>
        <w:keepNext w:val="0"/>
        <w:keepLines w:val="0"/>
        <w:widowControl w:val="0"/>
        <w:numPr>
          <w:ilvl w:val="0"/>
          <w:numId w:val="5"/>
        </w:numPr>
        <w:shd w:val="clear" w:color="auto" w:fill="auto"/>
        <w:tabs>
          <w:tab w:pos="105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АРМ стационарное модульное графическое, код ОКПД 2 26.20.30.190</w:t>
      </w:r>
    </w:p>
    <w:p>
      <w:pPr>
        <w:pStyle w:val="Style5"/>
        <w:keepNext w:val="0"/>
        <w:keepLines w:val="0"/>
        <w:widowControl w:val="0"/>
        <w:numPr>
          <w:ilvl w:val="0"/>
          <w:numId w:val="5"/>
        </w:numPr>
        <w:shd w:val="clear" w:color="auto" w:fill="auto"/>
        <w:tabs>
          <w:tab w:pos="10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АРМ стационарное модульное графическое, код ОКПД 2 26.20.30.190</w:t>
      </w:r>
    </w:p>
    <w:p>
      <w:pPr>
        <w:pStyle w:val="Style5"/>
        <w:keepNext w:val="0"/>
        <w:keepLines w:val="0"/>
        <w:widowControl w:val="0"/>
        <w:numPr>
          <w:ilvl w:val="0"/>
          <w:numId w:val="5"/>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Монитор, подключаемый к компьютеру, код ОКПД 2 26.20.17.110</w:t>
      </w:r>
    </w:p>
    <w:p>
      <w:pPr>
        <w:pStyle w:val="Style5"/>
        <w:keepNext w:val="0"/>
        <w:keepLines w:val="0"/>
        <w:widowControl w:val="0"/>
        <w:numPr>
          <w:ilvl w:val="0"/>
          <w:numId w:val="5"/>
        </w:numPr>
        <w:shd w:val="clear" w:color="auto" w:fill="auto"/>
        <w:tabs>
          <w:tab w:pos="10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Источник бесперебойного питания, код ОКПД 2 26.20.40.110</w:t>
      </w:r>
    </w:p>
    <w:p>
      <w:pPr>
        <w:pStyle w:val="Style5"/>
        <w:keepNext w:val="0"/>
        <w:keepLines w:val="0"/>
        <w:widowControl w:val="0"/>
        <w:numPr>
          <w:ilvl w:val="0"/>
          <w:numId w:val="5"/>
        </w:numPr>
        <w:shd w:val="clear" w:color="auto" w:fill="auto"/>
        <w:tabs>
          <w:tab w:pos="10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3^-принтер М )\1, код ОКПД 2 26.20.16.120</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Автоматизированному рабочему месту соответствует код ОКПД 2 26.20.15.150, который не входит в приложение №1 к приказу №126н. Таким образом Заказчиком закупается продукция которая входит и не входит в приложение №1 к приказу №126н.</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закупается не стандартное АРМ, а АРМ стационарное модульное графическое.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общероссийский классификатор включены два кода:</w:t>
      </w:r>
    </w:p>
    <w:p>
      <w:pPr>
        <w:pStyle w:val="Style5"/>
        <w:keepNext w:val="0"/>
        <w:keepLines w:val="0"/>
        <w:widowControl w:val="0"/>
        <w:numPr>
          <w:ilvl w:val="0"/>
          <w:numId w:val="7"/>
        </w:numPr>
        <w:shd w:val="clear" w:color="auto" w:fill="auto"/>
        <w:tabs>
          <w:tab w:pos="97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26.20.15.150 - автоматизированное рабочее место</w:t>
      </w:r>
    </w:p>
    <w:p>
      <w:pPr>
        <w:pStyle w:val="Style5"/>
        <w:keepNext w:val="0"/>
        <w:keepLines w:val="0"/>
        <w:widowControl w:val="0"/>
        <w:numPr>
          <w:ilvl w:val="0"/>
          <w:numId w:val="7"/>
        </w:numPr>
        <w:shd w:val="clear" w:color="auto" w:fill="auto"/>
        <w:tabs>
          <w:tab w:pos="97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26.20.15.130 - графическая станция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применение к закупаемому товару сразу двух кодов ОКПД2 не предусмотрено законодательством в сфере закупок. При этом использования одного из этих кодов не будет отвечать потребности Заказчика, так как необходимо АРМ, состоящее в том числе из модульной графической станции, которая имеет ряд особенностей по сравнению с обычным персональным компьютером и позволяет обрабатывать большой объем данных при работе со специализированными </w:t>
      </w:r>
      <w:r>
        <w:rPr>
          <w:color w:val="000000"/>
          <w:spacing w:val="0"/>
          <w:w w:val="100"/>
          <w:position w:val="0"/>
          <w:shd w:val="clear" w:color="auto" w:fill="auto"/>
          <w:lang w:val="ru-RU" w:eastAsia="ru-RU" w:bidi="ru-RU"/>
        </w:rPr>
        <w:t>программами. Таким образом, наиболее подходящим кодом ОКПД2 для закупаемого модульного АРМ является Устройства автоматической обработки данных прочие.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представитель Заказчика пояснил, что Заказчиком из утвержденного Справочника предметов государственного заказа при формировании спецификации были выбраны КПГЗ — 01.13.01.01.02.01 АРМ СТАЦИОНАРНЫЕ МОДУЛЬНЫЕ ГРАФИЧЕСКИЕ и СПГЗ — АРМ СТАЦИОНАРНЫЕ МОДУЛЬНЫЕ ГРАФИЧЕСКИЕ, при этом данному СПГЗ определен код ОКПД2 26.20.30.190, что свидетельствует о том обстоятельства, что Заказчиком не закупается АРМ, предусмотренный кодом ОКПД2 26.20.15.150.</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заседании Комиссии Управления установлено, что в составе жалобы Заявителем не представлены документы и сведения свидетельствующие об ограничении количества участников закупки, а также о несоответствия выбранного кода ОКПД2 закупаемому товару, а также сведений, свидетельствующих о нарушении Заказчиком норм Закона о контрактной системе при установлении оспариваемых требований к поставляемым товарам.</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Заявителем не представлено 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и именно в той комплектации, которая указана в аукционной документации.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Комиссия также отмечает, что предъявленные Заказчиком требования к поставляемому товару в равной степени распространялись на всех участников аукциона, ввиду чего любое лицо обладало возможностью закупить и поставить требуемый товар. Каких-либо доказательств невозможности совершения данных 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также установлено, что на участие в закупке участниками подано 3 заявки, что свидетельствует об отсутствии признаков ограничения количества участников закупки.</w:t>
      </w:r>
      <w:r>
        <w:br w:type="page"/>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довод жалобы являются необоснованным.</w:t>
      </w:r>
    </w:p>
    <w:p>
      <w:pPr>
        <w:pStyle w:val="Style5"/>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5"/>
        <w:keepNext w:val="0"/>
        <w:keepLines w:val="0"/>
        <w:widowControl w:val="0"/>
        <w:numPr>
          <w:ilvl w:val="0"/>
          <w:numId w:val="9"/>
        </w:numPr>
        <w:shd w:val="clear" w:color="auto" w:fill="auto"/>
        <w:tabs>
          <w:tab w:pos="9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«АРМТЭКС» на действия ГБУ «ГЛАВАПУ» необоснованной.</w:t>
      </w:r>
    </w:p>
    <w:p>
      <w:pPr>
        <w:pStyle w:val="Style5"/>
        <w:keepNext w:val="0"/>
        <w:keepLines w:val="0"/>
        <w:widowControl w:val="0"/>
        <w:numPr>
          <w:ilvl w:val="0"/>
          <w:numId w:val="9"/>
        </w:numPr>
        <w:shd w:val="clear" w:color="auto" w:fill="auto"/>
        <w:tabs>
          <w:tab w:pos="997" w:val="left"/>
        </w:tabs>
        <w:bidi w:val="0"/>
        <w:spacing w:before="0" w:after="200" w:line="240" w:lineRule="auto"/>
        <w:ind w:left="0" w:right="0" w:firstLine="70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36" w:bottom="1805" w:left="1102" w:header="0" w:footer="3" w:gutter="0"/>
          <w:cols w:space="720"/>
          <w:noEndnote/>
          <w:rtlGutter w:val="0"/>
          <w:docGrid w:linePitch="360"/>
        </w:sectPr>
      </w:pPr>
      <w:r>
        <mc:AlternateContent>
          <mc:Choice Requires="wps">
            <w:drawing>
              <wp:anchor distT="533400" distB="219075" distL="0" distR="0" simplePos="0" relativeHeight="125829380" behindDoc="0" locked="0" layoutInCell="1" allowOverlap="1">
                <wp:simplePos x="0" y="0"/>
                <wp:positionH relativeFrom="page">
                  <wp:posOffset>733425</wp:posOffset>
                </wp:positionH>
                <wp:positionV relativeFrom="paragraph">
                  <wp:posOffset>533400</wp:posOffset>
                </wp:positionV>
                <wp:extent cx="1850390" cy="250190"/>
                <wp:wrapTopAndBottom/>
                <wp:docPr id="15" name="Shape 1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75pt;margin-top:42.pt;width:145.70000000000002pt;height:19.699999999999999pt;z-index:-125829373;mso-wrap-distance-left:0;mso-wrap-distance-top:42.pt;mso-wrap-distance-right:0;mso-wrap-distance-bottom:17.2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597535" distB="0" distL="0" distR="1789430" simplePos="0" relativeHeight="125829382" behindDoc="0" locked="0" layoutInCell="1" allowOverlap="1">
            <wp:simplePos x="0" y="0"/>
            <wp:positionH relativeFrom="page">
              <wp:posOffset>3092450</wp:posOffset>
            </wp:positionH>
            <wp:positionV relativeFrom="paragraph">
              <wp:posOffset>597535</wp:posOffset>
            </wp:positionV>
            <wp:extent cx="365760" cy="40830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36576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3522345</wp:posOffset>
                </wp:positionH>
                <wp:positionV relativeFrom="paragraph">
                  <wp:posOffset>695325</wp:posOffset>
                </wp:positionV>
                <wp:extent cx="1725295" cy="259080"/>
                <wp:wrapNone/>
                <wp:docPr id="19" name="Shape 1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35000000000002pt;margin-top:54.75pt;width:135.84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219075" distL="0" distR="0" simplePos="0" relativeHeight="125829383" behindDoc="0" locked="0" layoutInCell="1" allowOverlap="1">
                <wp:simplePos x="0" y="0"/>
                <wp:positionH relativeFrom="page">
                  <wp:posOffset>6182995</wp:posOffset>
                </wp:positionH>
                <wp:positionV relativeFrom="paragraph">
                  <wp:posOffset>533400</wp:posOffset>
                </wp:positionV>
                <wp:extent cx="1029970" cy="250190"/>
                <wp:wrapTopAndBottom/>
                <wp:docPr id="21" name="Shape 21"/>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7" type="#_x0000_t202" style="position:absolute;margin-left:486.85000000000002pt;margin-top:42.pt;width:81.100000000000009pt;height:19.699999999999999pt;z-index:-125829370;mso-wrap-distance-left:0;mso-wrap-distance-top:42.pt;mso-wrap-distance-right:0;mso-wrap-distance-bottom:17.25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AEAEA"/>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6"/>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6"/>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 xml:space="preserve">000590946031СЕ073ВЕ5С506ЕЕ7501 </w:t>
      </w:r>
      <w:r>
        <w:rPr>
          <w:color w:val="696969"/>
          <w:spacing w:val="0"/>
          <w:w w:val="100"/>
          <w:position w:val="0"/>
          <w:shd w:val="clear" w:color="auto" w:fill="auto"/>
          <w:lang w:val="ru-RU" w:eastAsia="ru-RU" w:bidi="ru-RU"/>
        </w:rPr>
        <w:t>0760</w:t>
      </w:r>
    </w:p>
    <w:p>
      <w:pPr>
        <w:pStyle w:val="Style26"/>
        <w:keepNext w:val="0"/>
        <w:keepLines w:val="0"/>
        <w:widowControl w:val="0"/>
        <w:shd w:val="clear" w:color="auto" w:fill="auto"/>
        <w:bidi w:val="0"/>
        <w:spacing w:before="0" w:after="24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12.03.2024 </w:t>
      </w:r>
      <w:r>
        <w:rPr>
          <w:color w:val="696969"/>
          <w:spacing w:val="0"/>
          <w:w w:val="100"/>
          <w:position w:val="0"/>
          <w:shd w:val="clear" w:color="auto" w:fill="auto"/>
          <w:lang w:val="ru-RU" w:eastAsia="ru-RU" w:bidi="ru-RU"/>
        </w:rPr>
        <w:t>по 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40" w:line="240" w:lineRule="auto"/>
        <w:ind w:left="0" w:right="0" w:firstLine="880"/>
        <w:jc w:val="left"/>
      </w:pPr>
      <w:r>
        <w:drawing>
          <wp:anchor distT="0" distB="0" distL="114300" distR="1903730" simplePos="0" relativeHeight="125829385" behindDoc="0" locked="0" layoutInCell="1" allowOverlap="1">
            <wp:simplePos x="0" y="0"/>
            <wp:positionH relativeFrom="page">
              <wp:posOffset>3070860</wp:posOffset>
            </wp:positionH>
            <wp:positionV relativeFrom="paragraph">
              <wp:posOffset>25400</wp:posOffset>
            </wp:positionV>
            <wp:extent cx="389890" cy="57277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461010</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0.90000000000003pt;margin-top:36.300000000000004pt;width:100.8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150495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30000000000001pt;margin-top:11.85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6"/>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26"/>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526ССО2Е48634А0964757620Е6Е0АЕ90</w:t>
      </w:r>
    </w:p>
    <w:p>
      <w:pPr>
        <w:pStyle w:val="Style26"/>
        <w:keepNext w:val="0"/>
        <w:keepLines w:val="0"/>
        <w:widowControl w:val="0"/>
        <w:shd w:val="clear" w:color="auto" w:fill="auto"/>
        <w:bidi w:val="0"/>
        <w:spacing w:before="0" w:after="16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370" w:line="240" w:lineRule="auto"/>
        <w:ind w:left="0" w:right="0" w:firstLine="880"/>
        <w:jc w:val="left"/>
      </w:pPr>
      <w:r>
        <w:drawing>
          <wp:anchor distT="0" distB="0" distL="114300" distR="1903730" simplePos="0" relativeHeight="125829386" behindDoc="0" locked="0" layoutInCell="1" allowOverlap="1">
            <wp:simplePos x="0" y="0"/>
            <wp:positionH relativeFrom="page">
              <wp:posOffset>3092450</wp:posOffset>
            </wp:positionH>
            <wp:positionV relativeFrom="paragraph">
              <wp:posOffset>50800</wp:posOffset>
            </wp:positionV>
            <wp:extent cx="365760" cy="40830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65760" cy="40830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3522345</wp:posOffset>
                </wp:positionH>
                <wp:positionV relativeFrom="paragraph">
                  <wp:posOffset>148590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35000000000002pt;margin-top:11.70000000000000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Сорбучева Мария Васильевна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0Э18Е97ВЕ55В5023ВССВ395Е903С1 035</w:t>
      </w:r>
    </w:p>
    <w:p>
      <w:pPr>
        <w:pStyle w:val="Style26"/>
        <w:keepNext w:val="0"/>
        <w:keepLines w:val="0"/>
        <w:widowControl w:val="0"/>
        <w:shd w:val="clear" w:color="auto" w:fill="auto"/>
        <w:bidi w:val="0"/>
        <w:spacing w:before="0" w:after="202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03.08.2023 </w:t>
      </w:r>
      <w:r>
        <w:rPr>
          <w:color w:val="696969"/>
          <w:spacing w:val="0"/>
          <w:w w:val="100"/>
          <w:position w:val="0"/>
          <w:shd w:val="clear" w:color="auto" w:fill="auto"/>
          <w:lang w:val="ru-RU" w:eastAsia="ru-RU" w:bidi="ru-RU"/>
        </w:rPr>
        <w:t xml:space="preserve">по </w:t>
      </w:r>
      <w:r>
        <w:rPr>
          <w:color w:val="7E7E7E"/>
          <w:spacing w:val="0"/>
          <w:w w:val="100"/>
          <w:position w:val="0"/>
          <w:shd w:val="clear" w:color="auto" w:fill="auto"/>
          <w:lang w:val="ru-RU" w:eastAsia="ru-RU" w:bidi="ru-RU"/>
        </w:rPr>
        <w:t>26.10.2024</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62" w:right="532" w:bottom="156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13105" cy="100330"/>
              <wp:wrapNone/>
              <wp:docPr id="5" name="Shape 5"/>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2024-34651</w:t>
                          </w:r>
                        </w:p>
                      </w:txbxContent>
                    </wps:txbx>
                    <wps:bodyPr wrap="none" lIns="0" tIns="0" rIns="0" bIns="0">
                      <a:spAutoFit/>
                    </wps:bodyPr>
                  </wps:wsp>
                </a:graphicData>
              </a:graphic>
            </wp:anchor>
          </w:drawing>
        </mc:Choice>
        <mc:Fallback>
          <w:pict>
            <v:shape id="_x0000_s1031" type="#_x0000_t202" style="position:absolute;margin-left:57.pt;margin-top:804.5pt;width:56.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2024-34651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723900</wp:posOffset>
              </wp:positionH>
              <wp:positionV relativeFrom="page">
                <wp:posOffset>9698990</wp:posOffset>
              </wp:positionV>
              <wp:extent cx="719455" cy="100330"/>
              <wp:wrapNone/>
              <wp:docPr id="13" name="Shape 1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2024-34651</w:t>
                          </w:r>
                        </w:p>
                      </w:txbxContent>
                    </wps:txbx>
                    <wps:bodyPr wrap="none" lIns="0" tIns="0" rIns="0" bIns="0">
                      <a:spAutoFit/>
                    </wps:bodyPr>
                  </wps:wsp>
                </a:graphicData>
              </a:graphic>
            </wp:anchor>
          </w:drawing>
        </mc:Choice>
        <mc:Fallback>
          <w:pict>
            <v:shape id="_x0000_s1039" type="#_x0000_t202" style="position:absolute;margin-left:57.pt;margin-top:763.70000000000005pt;width:56.64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2024-34651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476250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37.5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476250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pt;margin-top:37.5pt;width:5.0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4">
    <w:name w:val="Основной текст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04040"/>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Основной текст (3)"/>
    <w:basedOn w:val="Normal"/>
    <w:link w:val="CharStyle8"/>
    <w:pPr>
      <w:widowControl w:val="0"/>
      <w:shd w:val="clear" w:color="auto" w:fill="auto"/>
      <w:spacing w:after="100"/>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11">
    <w:name w:val="Заголовок №2"/>
    <w:basedOn w:val="Normal"/>
    <w:link w:val="CharStyle12"/>
    <w:pPr>
      <w:widowControl w:val="0"/>
      <w:shd w:val="clear" w:color="auto" w:fill="auto"/>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3">
    <w:name w:val="Основной текст (4)"/>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Основной текст (2)"/>
    <w:basedOn w:val="Normal"/>
    <w:link w:val="CharStyle27"/>
    <w:pPr>
      <w:widowControl w:val="0"/>
      <w:shd w:val="clear" w:color="auto" w:fill="auto"/>
      <w:ind w:left="3820"/>
    </w:pPr>
    <w:rPr>
      <w:rFonts w:ascii="Arial" w:eastAsia="Arial" w:hAnsi="Arial" w:cs="Arial"/>
      <w:b w:val="0"/>
      <w:bCs w:val="0"/>
      <w:i w:val="0"/>
      <w:iCs w:val="0"/>
      <w:smallCaps w:val="0"/>
      <w:strike w:val="0"/>
      <w:color w:val="404040"/>
      <w:sz w:val="12"/>
      <w:szCs w:val="12"/>
      <w:u w:val="none"/>
    </w:rPr>
  </w:style>
  <w:style w:type="paragraph" w:customStyle="1" w:styleId="Style32">
    <w:name w:val="Основной текст (5)"/>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