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Воронежской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38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пр-кт Революции, 21, г. Воронеж, 394036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тел./факс+7 (473) 255-92-44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u w:val="single"/>
          <w:shd w:val="clear" w:color="auto" w:fill="auto"/>
          <w:lang w:val="ru-RU" w:eastAsia="ru-RU" w:bidi="ru-RU"/>
        </w:rPr>
        <w:t>е-таИ: (оЗб@1а8.аоу.ги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6.08.2024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СМ/5511/2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 w:line="276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036/06/42-1033/2024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«АЙТИ ПРОЕКТ»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117342, г. Москва, ул. Бутлерова, д. 17Б,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 2, ПОМ XI, К 69, Оф. 169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Казенное учреждение Воронежской области "Региональный центр безопасности"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394028, г. Воронеж, Монтажный пр-д, д.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3, к. Б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1тЬ@до\лт11.П1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по регулированию контрактной системы в сфере закупок Воронежской области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394036, Воронежская обл., г. Воронеж, пр-т Революции, 29в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623" w:bottom="1207" w:left="1145" w:header="0" w:footer="3" w:gutter="0"/>
          <w:pgNumType w:start="1"/>
          <w:cols w:num="2" w:space="720" w:equalWidth="0">
            <w:col w:w="4258" w:space="1003"/>
            <w:col w:w="487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до5/а1&lt;а/@до\лт11.П1. /акир1&lt;1@до\лт11.П1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3" w:after="6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0" w:right="0" w:bottom="118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ООО «АйтиПроект» на действия КУ ВО «Региональный центр безопасности» и Министерства по регулированию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системы в сфере закупок Воронежской области при проведении</w:t>
        <w:br/>
        <w:t>электронного аукциона на поставку продукции радиоэлектронной промышленности</w:t>
        <w:br/>
        <w:t>(технических средств автоматической фотовидеофиксации для обеспечения</w:t>
        <w:br/>
        <w:t>контроля дорожного движения с монтажными и пусконаладочными работами)</w:t>
        <w:br/>
        <w:t>(номер извещения 0131200001024007623)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(Дело № 036/06/42-1033/2024)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711" w:val="left"/>
        </w:tabs>
        <w:bidi w:val="0"/>
        <w:spacing w:before="0" w:after="480" w:line="240" w:lineRule="auto"/>
        <w:ind w:left="0" w:right="0" w:firstLine="9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02.08.2024 г.</w:t>
        <w:tab/>
        <w:t>г. Воронеж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настоящего решения объявлена 02.08.2024 года.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left="2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полном объеме решение изготовлено 06.08.2024 года.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1Н1Ш11111111111111111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Воронежской области по контролю в сфере закупок (далее - Комиссия) в составе: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Михин С.В. - председатель Комиссии, заместитель руководителя Управления;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Тельпов И.А. - заместитель председателя Комиссии, заместитель начальника отдела контроля закупок;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Апанащик У.А. - член Комиссии, специалист эксперт отдела контроля закупок,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 ООО «АйтиПроект»: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Маркиной Т.С. (доверенность № 31 от 05.04.2024),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Министерства по регулированию контрактной системы в сфере закупок Воронежской области: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Куракиной Г.С. (доверенность от 12.10.2023 года №1),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Кучина А.В. (доверенность от 16.02.2024 года №12),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казенного учреждения Воронежской области «Региональный центр безопасности»: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Золотухиной А.Ю. (доверенность от 09.01.2024 года №3),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Трушкина С.В. (доверенность от 09.01.2024 года №6),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«АйтиПроект» на действия КУ ВО «Региональный центр безопасности» и Министерства по регулированию контрактной системы в сфере закупок Воронежской области при проведении электронного аукциона на поставку продукции радиоэлектронной промышленности (технических средств автоматической фотовидеофиксации для обеспечения контроля дорожного движения с монтажными и пусконаладочными работами) (номер извещения 0131200001024007623),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Управление Федеральной антимонопольной службы по Воронежской области (далее - Воронежское УФАС России) поступила жалоба ООО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«АйтиПроект» (далее - Заявитель) на действия КУ ВО «Региональный центр безопасности» (далее - Заказчик) и Министерства по регулированию контрактной системы в сфере закупок Воронежской области (далее - Уполномоченный орган) при проведении электронного аукциона на поставку продукции радиоэлектронной промышленности (технических средств автоматической фотовидеофиксации для обеспечения контроля дорожного движения с монтажными и пусконаладочными работами) (номер извещения 0131200001024007623).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документация рассматриваемого электронного аукциона составлена с нарушением норм законодательства о контрактной системе, а именно: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Установленный Заказчиком срок в 51 календарный день (п.3.1 Проекта Контракта) не соответствует срокам, уставленным нормативно-правовой документацией РФ и является ограничением конкуренции. Кроме того, стоимость комплексов в НМЦК не имеет чётких критериев по определению, с размещением опоры под комплекс (фактор который приводит к удорожанию его стоимости) или без собственной опоры, что фактически может привести к значительному снижению стоимости комплекса фотовидеофиксации при проведении аукциона.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вводит в заблуждение потенциальных участников закупки, что в свою очередь ограничивает конкуренцию, а также в извещении о проведении электронного аукциона отсутствует обоснование применения дополнительных требований к поставляемому товару, не предусмотренных позицией каталога товаров, работ и услуг (далее - КТРУ) № 26.51.66.190-00000023 «Техническое средство автоматической фотовидеофиксации для обеспечения контроля дорожного движения».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заблуждение и позволять указать в заявке противоречащие положениям Стандарта показатели и (или) их значения.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и Уполномоченным органом представлены возражения на жалобу Заявителя. Из указанных возражений следует, что Заказчик и Уполномоченный орган считают доводы жалобы необоснованными и не подлежащими удовлетворению.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материалы дела, Комиссия Воронежского УФАС России установила следующее.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6" w:val="left"/>
        </w:tabs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.07.2024 года в Единой информационной системе размещено Извещение о проведении электронного аукциона от 18.07.2024 № 0131200001024007623 (далее - Извещение).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- 97 472 000, 00 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Предметом рассматриваемой закупки является поставка продукции радиоэлектронной промышленности (технических средств автоматической фотовидеофиксации для обеспечения контроля дорожного движения с монтажными и пусконаладочными работами).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Определение поставщика (подрядчика, исполнителя) осуществляется путём проведения электронного аукциона.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0" w:right="548" w:bottom="1187" w:left="109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5 статьи 24 Закона о контрактной системе под электронным аукционом понимается конкурентный способ определения поставщиков, при котором победителем электронной процедуры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настоящим Федеральным законом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частью 24 статьи 22 Закона о контрактной системе) наиболее низкую цену контракта, наименьшую сумму цен таких единиц либо в случае, предусмотренном пунктом 9 части 3 статьи 49 Закона о контрактной системе, 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наиболее высокий размер платы, подлежащей внесению участником закупки за заключение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доводу № 1 жалобы Заявителя (Установленный Заказчиком срок в 51 календарный день (п.3.1 Проекта Контракта) не соответствует срокам, уставленным нормативно-правовой документацией РФ и является ограничением конкуренции. Кроме того, стоимость комплексов в НМЦК не имеет чётких критериев по определению, с размещением опоры под комплекс (фактор который приводит к удорожанию его стоимости) или без собственной опоры, что фактически может привести к значительному снижению стоимости комплекса фотовидеофиксации при проведении аукциона) Комиссия Воронежского УФАС России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1 статьи 49 Закона о контрактной системе установлено, что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5 части 2 статьи 42 Закона о контрактной системе определено, что извещение об осуществлении закупки, если иное не предусмотрено Законом о контрактной системе, должно содержать проект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во исполнение вышеуказанных требований Закона о контрактной системе в составе Извещения содержится следующий электронный документ - «Приложение 3 — Проект контракта» (далее — проект контракта).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1 ст.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извещение об осуществлении закупки или приглашение, документация о закупке, заявка не предусмотрены.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  <w:rPr>
          <w:sz w:val="24"/>
          <w:szCs w:val="24"/>
        </w:rPr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05" w:right="536" w:bottom="497" w:left="1106" w:header="677" w:footer="6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п. 3.1. Контракта Поставщик самостоятельно доставляет Товар Заказчику. Место поставки Товара: поставка Товара, с учетом требований пункта 1.1.6 приложения № 1 к Спецификации, производится в места монтажа,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2024-6719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определенные в пункте 1.1.1 приложения № 1 к Спецификации, в течение 51 (пятидесяти одного) календарного дня с даты заключения настоящего Контракта. В рамках указанного срока Сторонами проводятся приемочные испытания, в порядке и сроки, предусмотренные Спецификацией.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Статьей 506 Гражданском кодексе Российской Федерации определены требования к срокам поставки. Требование гражданского законодательства об определении указанных сроков по договору поставки, как существенного условия этого договора, установлено в целях недопущения неопределенности в правоотношениях сторон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при формировании Описания объекта закупки Заказчику положениями Закона о контрактной системе предоставлено право самостоятельно определить сроки поставки товара, исходя из имеющихся потребностей, специфики его деятельности, с учетом норм и требований действующего законодательства.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участники закупки самостоятельно проводят оценку возможности соблюдения срока поставки товара, выполнения работ, оказания услуг в соответствии с численностью штата, профессиональной подготовкой и продолжительностью рабочего дня сотрудников.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изучив имающеюся информацию, пришла к выводам, что сроки исполнения контракта, установленные Заказчиком в извещении и Проекте контракта, включая сроки выполнения работ не нарушают требований действующего Законодательства.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заявителем не представлено доказательств того, что предусмотренные проектом Контракта работы, не могут быть выполнены в установленный срок.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Воронежского УФАС России учитывает и тот факт, что на участие в Аукционе, в соответствии с протоколом подведения итогов определения поставщика (подрядчика, исполнителя) от 30.07.2024 №ИЭА1, подано 4 заявки.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доводу № 2 жалобы Заявителя (Заказчик вводит в заблуждение потенциальных участников закупки, что в свою очередь ограничивает конкуренцию, а также в извещении о проведении электронного аукциона отсутствует обоснование применения дополнительных требований к поставляемому товару, не предусмотренных позицией каталога товаров, работ и услуг (далее - КТРУ) № 26.51.66.190-00000023 «Техническое средство автоматической фотовидеофиксации для обеспечения контроля дорожного движения») Комиссия Воронежского УФАС России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3 ч. 2 ст. 42 Закона о контрактной системе извещение об осуществлении закупки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2.6 требований к участникам закупки, содержанию и составу заявки на участие в закупке и инструкции по ее заполнению (приложения № 4 к извещению о проведении электронного аукциона) (далее - Требования к участникам закупки) при заполнении заявки участники закупки должны делать по всем пунктам предложения о поставке товара, а также использовать обозначения (единицы измерения, наименования показателей, технических, функциональных и иных параметров) в соответствии с обозначениями, установленными в извещении об осуществлении закупки, Приложении № 3 «Описание объекта закупки».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участнику закупки при заполнении заявки на участие в закупке необходимо руководствоваться столбцом «Инструкция участнику закупки по формированию предложения» и указать характеристики товара, работы, услуги так, чтобы они соответствовали данной инструкции и характеристикам товара, предлагаемого к поставке (пункт 2.3. Требований к участникам закупки).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при подаче структурированной заявки с помощью функционала электронной торговой площадки участнику закупки необходимо указать функциональные, технические, качественные и эксплуатационные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характеристики товара по пункту 1 части 1 статьи 33 Закона о контрактной системе, которые вводятся в поля на основе значений структурированного извещения о проведении электронного аукциона, а именно Описания объекта закупки (приложения № 3 к извещению о проведении электронного аукциона). Участник закупки обязан заполнять характеристики товара в структурированной форме, иначе заявка будет отклонена (пункт 1 части 12 статьи 48 Закона о контрактной системе).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этого, заполнение структурированной заявки участником закупки исключает возможность допущения ошибки и предоставления заказчику иных характеристик, не предусмотренных извещением о проведении электронного аукциона.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приложения к Описанию объекта закупки содержат информацию о требованиях к работам по монтажу и пусконаладке Комплексов, а также требования к результату выполненных работ в отношении каждого типа Комплекса.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описании объекта указанной закупки Заказчик использовал код из Общероссийского классификатора продукции по видам экономической деятельности (далее - ОКПД2) 26.51.66.190, который включен в реестр радиоэлектронной продукции и является составной частью КТРУ № 26.51.66.190-00000023 «Техническое средств автоматической фотовидеофиксации для обеспечения контроля дорожного движения».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согласно Извещению № 0131200001024007623 объектом закупки являются следующие товары:</w:t>
      </w:r>
    </w:p>
    <w:tbl>
      <w:tblPr>
        <w:tblOverlap w:val="never"/>
        <w:jc w:val="left"/>
        <w:tblLayout w:type="fixed"/>
      </w:tblPr>
      <w:tblGrid>
        <w:gridCol w:w="6206"/>
        <w:gridCol w:w="3264"/>
      </w:tblGrid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Код позиции</w:t>
            </w:r>
          </w:p>
        </w:tc>
      </w:tr>
      <w:tr>
        <w:trPr>
          <w:trHeight w:val="128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Техническое средство автоматической фотовидеофиксации для обеспечения контроля дорожного движения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Идентификатор: 156539891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26.51.66.190-00000023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пояснениям представителей Заказчика, Заказчиком в рамках рассматриваемой закупки не предъявлялись дополнительные требования к характеристикам подлежащего поставке товара, за исключением требований, предусмотренных позицией КТРУ 26.51.66.190-00000023.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пункту 15 части 1 статьи 42 Закона о контрактной системе извещение об осуществлении закупки должно содержать информацию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выполняемых, оказываемых иностранными лицами, в случае, если такие условия, запреты и ограничения установлены в соответствии со статьей 14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Также, в Извещении установлено ограничение допуска отдельных видов радиоэлектронной продукции, происходящей из иностранных государств (в соответствии с Постановлением Правительства РФ № 878 от 10.07.2019).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14 части 3 статьи 4 Закона о контрактной системе предусмотрено, что единая информационная система содержит каталог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1728" w:val="left"/>
          <w:tab w:pos="4032" w:val="left"/>
          <w:tab w:pos="4522" w:val="left"/>
          <w:tab w:pos="6754" w:val="left"/>
          <w:tab w:pos="7661" w:val="left"/>
          <w:tab w:pos="8707" w:val="left"/>
          <w:tab w:pos="9130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(далее - Постановление № 145) утверждены Правила формирования и ведения в единой информационной системе в сфере закупок каталога товаров, работ, услуг для обеспечения</w:t>
        <w:tab/>
        <w:t>государственных</w:t>
        <w:tab/>
        <w:t>и</w:t>
        <w:tab/>
        <w:t>муниципальных</w:t>
        <w:tab/>
        <w:t>нужд</w:t>
        <w:tab/>
        <w:t>(далее</w:t>
        <w:tab/>
        <w:t>-</w:t>
        <w:tab/>
        <w:t>Правила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1728" w:val="left"/>
          <w:tab w:pos="4032" w:val="left"/>
          <w:tab w:pos="4522" w:val="left"/>
          <w:tab w:pos="6754" w:val="left"/>
          <w:tab w:pos="7661" w:val="left"/>
          <w:tab w:pos="8707" w:val="left"/>
          <w:tab w:pos="9130" w:val="left"/>
        </w:tabs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формирования КТРУ) и Правила использования каталога товаров, работ, услуг для обеспечения</w:t>
        <w:tab/>
        <w:t>государственных</w:t>
        <w:tab/>
        <w:t>и</w:t>
        <w:tab/>
        <w:t>муниципальных</w:t>
        <w:tab/>
        <w:t>нужд</w:t>
        <w:tab/>
        <w:t>(далее</w:t>
        <w:tab/>
        <w:t>-</w:t>
        <w:tab/>
        <w:t>Правила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использования КТРУ).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 2 Правил использования КТРУ каталог используется заказчиками в целях описания объектов закупки, которое включается в план-график закупок, извещение об осуществлении закупки, приглашение и документацию о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 4 Правил использования КТРУ Заказчики обязаны применять информацию, включенную в позицию каталога в соответствии с подпунктами «б» - «г» и «е» - «з» п. 10 Правил формирования и ведения в Единой информационной системе в сфере закупок КТРУ.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Как следует из пункта 4 Правил использования КТРУ Заказчики обязаны применять информацию, включенную в позицию каталога в соответствии с подпунктами «б» - «г» и «е» -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К 145 «Об утверждении Правил формирования и ведения в единой информационной системе в сфере закупок каталога товаров, работ, услуг для обеспечения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2" w:val="left"/>
        </w:tabs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6" w:val="left"/>
        </w:tabs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п. 5 Правил использования КТРУ,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 осуществления закупки радиоэлектронной продукции, включенной в пункты 22, 23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К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государства», при условии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К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К 925 и признании утратившими силу некоторых актов Правительства Российской Федерации»,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вышеизложенного, Заказчик, при установлении ограничения допуска, обязан использовать описание объекта закупки исключительно в соответствии с позицией КТРУ.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подготовке Описания объекта закупки Заказчиком в пункте 2 (Спецификация) установлены требования к характеристикам подлежащего поставке товара в соответствии с КТРУ 26.51.66.190-00000023.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содержания извещения о проведении электронного аукциона и проекта государственного контракта, следует, что предметом указанной закупки является поставка продукции радиоэлектронной промышленности (технических средств автоматической фотовидеофиксации для обеспечения контроля дорожного движения с монтажными и пусконаладочными работами), а проект государственного контракта, который является неотъемлемой частью извещения о проведении электронного аукциона, относится к смешанному договору, содержащему элементы договора поставки и договора подряда.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7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Так, файл «ООЗ», прикрепленный в Извещении, содержит, в том числе,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следующую информацию:</w:t>
      </w:r>
    </w:p>
    <w:tbl>
      <w:tblPr>
        <w:tblOverlap w:val="never"/>
        <w:jc w:val="left"/>
        <w:tblLayout w:type="fixed"/>
      </w:tblPr>
      <w:tblGrid>
        <w:gridCol w:w="418"/>
        <w:gridCol w:w="2323"/>
        <w:gridCol w:w="3826"/>
        <w:gridCol w:w="2669"/>
      </w:tblGrid>
      <w:tr>
        <w:trPr>
          <w:trHeight w:val="131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300" w:after="24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№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п/п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Наименование товара, код ОКПД 2, код позиции каталога товаров, работ, услуг (при наличии)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Характеристики товара</w:t>
            </w:r>
          </w:p>
        </w:tc>
      </w:tr>
      <w:tr>
        <w:trPr>
          <w:trHeight w:val="8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Наименование показателей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Значение показателя</w:t>
            </w:r>
          </w:p>
        </w:tc>
      </w:tr>
      <w:tr>
        <w:trPr>
          <w:trHeight w:val="71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26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260" w:after="80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Техническое средство автоматической фотовидеофиксации для обеспечения контроля дорожного движения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80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26.51.66.190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26.51.66.190</w:t>
              <w:softHyphen/>
              <w:t>00000023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 по степени мобильности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Стационарный (С)</w:t>
            </w:r>
          </w:p>
        </w:tc>
      </w:tr>
      <w:tr>
        <w:trPr>
          <w:trHeight w:val="130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Анализ, хранение, передача информации в центры ее обработки</w:t>
            </w:r>
          </w:p>
        </w:tc>
      </w:tr>
      <w:tr>
        <w:trPr>
          <w:trHeight w:val="157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28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Определение скорости автомобилей, попавших в зону действия комплекса</w:t>
            </w:r>
          </w:p>
        </w:tc>
      </w:tr>
      <w:tr>
        <w:trPr>
          <w:trHeight w:val="102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Проверка автомобилей по базам розыска</w:t>
            </w:r>
          </w:p>
        </w:tc>
      </w:tr>
      <w:tr>
        <w:trPr>
          <w:trHeight w:val="157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28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Считывание и распознавание регистрационных знаков транспортных средств</w:t>
            </w:r>
          </w:p>
        </w:tc>
      </w:tr>
      <w:tr>
        <w:trPr>
          <w:trHeight w:val="74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Фото и видеофиксация</w:t>
            </w:r>
          </w:p>
        </w:tc>
      </w:tr>
      <w:tr>
        <w:trPr>
          <w:trHeight w:val="74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Разрешение матрицы, Мп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&gt; 8</w:t>
            </w:r>
          </w:p>
        </w:tc>
      </w:tr>
      <w:tr>
        <w:trPr>
          <w:trHeight w:val="74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Цифровое увеличение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4х</w:t>
            </w:r>
          </w:p>
        </w:tc>
      </w:tr>
      <w:tr>
        <w:trPr>
          <w:trHeight w:val="130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 по методу измерения параметров транспортных средств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 алгоритмом трекинга транспортных средств (ТР)</w:t>
            </w:r>
          </w:p>
        </w:tc>
      </w:tr>
      <w:tr>
        <w:trPr>
          <w:trHeight w:val="103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 по принципу измерения параметров транспортных средств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Радиолокационное (Р)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left"/>
        <w:tblLayout w:type="fixed"/>
      </w:tblPr>
      <w:tblGrid>
        <w:gridCol w:w="418"/>
        <w:gridCol w:w="2323"/>
        <w:gridCol w:w="3826"/>
        <w:gridCol w:w="2669"/>
      </w:tblGrid>
      <w:tr>
        <w:trPr>
          <w:trHeight w:val="758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 по способу измерения скорости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Комбинированное</w:t>
            </w:r>
          </w:p>
        </w:tc>
      </w:tr>
      <w:tr>
        <w:trPr>
          <w:trHeight w:val="102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Возможность удаленного управления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Да</w:t>
            </w:r>
          </w:p>
        </w:tc>
      </w:tr>
      <w:tr>
        <w:trPr>
          <w:trHeight w:val="1027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Количество контролируемых полос движения, шт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</w:t>
            </w:r>
          </w:p>
        </w:tc>
      </w:tr>
      <w:tr>
        <w:trPr>
          <w:trHeight w:val="1027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Максимальная потребляемая мощность, Ватт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&lt; 50</w:t>
            </w:r>
          </w:p>
        </w:tc>
      </w:tr>
      <w:tr>
        <w:trPr>
          <w:trHeight w:val="749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Степень защиты 1Р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1Р 66</w:t>
            </w:r>
          </w:p>
        </w:tc>
      </w:tr>
      <w:tr>
        <w:trPr>
          <w:trHeight w:val="749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Тип изображения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Цветное</w:t>
            </w:r>
          </w:p>
        </w:tc>
      </w:tr>
      <w:tr>
        <w:trPr>
          <w:trHeight w:val="1306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Тип канала связи для передачи информации на внешний аппаратно</w:t>
              <w:softHyphen/>
              <w:t>программный комплекс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Беспроводной</w:t>
            </w:r>
          </w:p>
        </w:tc>
      </w:tr>
      <w:tr>
        <w:trPr>
          <w:trHeight w:val="715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Техническое средство автоматической фотовидеофиксации для обеспечения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 по степени мобильности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Стационарный (С)</w:t>
            </w:r>
          </w:p>
        </w:tc>
      </w:tr>
      <w:tr>
        <w:trPr>
          <w:trHeight w:val="754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 по степени мобильности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Передвижной (П)</w:t>
            </w:r>
          </w:p>
        </w:tc>
      </w:tr>
      <w:tr>
        <w:trPr>
          <w:trHeight w:val="749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контроля дорожного движения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 по степени мобильности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Мобильный (М)</w:t>
            </w:r>
          </w:p>
        </w:tc>
      </w:tr>
      <w:tr>
        <w:trPr>
          <w:trHeight w:val="1301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26.51.66.190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Анализ, хранение, передача информации в центры ее обработки</w:t>
            </w:r>
          </w:p>
        </w:tc>
      </w:tr>
      <w:tr>
        <w:trPr>
          <w:trHeight w:val="749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26.51.66.190-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Фото и видеофиксация</w:t>
            </w:r>
          </w:p>
        </w:tc>
      </w:tr>
      <w:tr>
        <w:trPr>
          <w:trHeight w:val="1579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00000023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28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Определение скорости автомобилей, попавших в зону действия комплекса</w:t>
            </w:r>
          </w:p>
        </w:tc>
      </w:tr>
      <w:tr>
        <w:trPr>
          <w:trHeight w:val="1027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Проверка автомобилей по базам розыска</w:t>
            </w:r>
          </w:p>
        </w:tc>
      </w:tr>
      <w:tr>
        <w:trPr>
          <w:trHeight w:val="917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Считывание и распознавание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418"/>
        <w:gridCol w:w="2323"/>
        <w:gridCol w:w="3826"/>
        <w:gridCol w:w="2669"/>
      </w:tblGrid>
      <w:tr>
        <w:trPr>
          <w:trHeight w:val="103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регистрационных знаков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транспортных средств</w:t>
            </w:r>
          </w:p>
        </w:tc>
      </w:tr>
      <w:tr>
        <w:trPr>
          <w:trHeight w:val="74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Разрешение матрицы, Мп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&gt; 8</w:t>
            </w:r>
          </w:p>
        </w:tc>
      </w:tr>
      <w:tr>
        <w:trPr>
          <w:trHeight w:val="7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Цифровое увеличение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16х</w:t>
            </w:r>
          </w:p>
        </w:tc>
      </w:tr>
      <w:tr>
        <w:trPr>
          <w:trHeight w:val="130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 по методу измерения параметров транспортных средств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 алгоритмом трекинга транспортных средств (ТР)</w:t>
            </w:r>
          </w:p>
        </w:tc>
      </w:tr>
      <w:tr>
        <w:trPr>
          <w:trHeight w:val="102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 по принципу измерения параметров транспортных средств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Радиолокационное (Р)</w:t>
            </w:r>
          </w:p>
        </w:tc>
      </w:tr>
      <w:tr>
        <w:trPr>
          <w:trHeight w:val="74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 по способу измерения скорости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Комбинированное</w:t>
            </w:r>
          </w:p>
        </w:tc>
      </w:tr>
      <w:tr>
        <w:trPr>
          <w:trHeight w:val="102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Возможность удаленного управления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Да</w:t>
            </w:r>
          </w:p>
        </w:tc>
      </w:tr>
      <w:tr>
        <w:trPr>
          <w:trHeight w:val="10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Количество контролируемых полос движения, шт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&gt; 6</w:t>
            </w:r>
          </w:p>
        </w:tc>
      </w:tr>
      <w:tr>
        <w:trPr>
          <w:trHeight w:val="102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Максимальная потребляемая мощность, Ватт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&lt; 50</w:t>
            </w:r>
          </w:p>
        </w:tc>
      </w:tr>
      <w:tr>
        <w:trPr>
          <w:trHeight w:val="74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Степень защиты 1Р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1Р 66</w:t>
            </w:r>
          </w:p>
        </w:tc>
      </w:tr>
      <w:tr>
        <w:trPr>
          <w:trHeight w:val="7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Тип изображения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Цветное</w:t>
            </w:r>
          </w:p>
        </w:tc>
      </w:tr>
      <w:tr>
        <w:trPr>
          <w:trHeight w:val="130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Тип канала связи для передачи информации на внешний аппаратно</w:t>
              <w:softHyphen/>
              <w:t>программный комплекс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Беспроводной</w:t>
            </w:r>
          </w:p>
        </w:tc>
      </w:tr>
      <w:tr>
        <w:trPr>
          <w:trHeight w:val="71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26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26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Техническое средство автоматической фотовидеофиксации для обеспечения контроля дорожного движения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 по степени мобильности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Стационарный (С)</w:t>
            </w:r>
          </w:p>
        </w:tc>
      </w:tr>
      <w:tr>
        <w:trPr>
          <w:trHeight w:val="130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Анализ, хранение, передача информации в центры ее обработки</w:t>
            </w:r>
          </w:p>
        </w:tc>
      </w:tr>
      <w:tr>
        <w:trPr>
          <w:trHeight w:val="74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Фото и видеофиксация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413"/>
        <w:gridCol w:w="2328"/>
        <w:gridCol w:w="3826"/>
        <w:gridCol w:w="2659"/>
      </w:tblGrid>
      <w:tr>
        <w:trPr>
          <w:trHeight w:val="1579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80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26.51.66.190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26.51.66.190</w:t>
              <w:softHyphen/>
              <w:t>00000023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28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Определение скорости автомобилей, попавших в зону действия комплекса</w:t>
            </w:r>
          </w:p>
        </w:tc>
      </w:tr>
      <w:tr>
        <w:trPr>
          <w:trHeight w:val="102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Проверка автомобилей по базам розыска</w:t>
            </w:r>
          </w:p>
        </w:tc>
      </w:tr>
      <w:tr>
        <w:trPr>
          <w:trHeight w:val="1574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28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Считывание и распознавание регистрационных знаков транспортных средств</w:t>
            </w:r>
          </w:p>
        </w:tc>
      </w:tr>
      <w:tr>
        <w:trPr>
          <w:trHeight w:val="744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Разрешение матрицы, Мп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&gt; 5 и &lt; 8</w:t>
            </w:r>
          </w:p>
        </w:tc>
      </w:tr>
      <w:tr>
        <w:trPr>
          <w:trHeight w:val="744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Цифровое увеличение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4х</w:t>
            </w:r>
          </w:p>
        </w:tc>
      </w:tr>
      <w:tr>
        <w:trPr>
          <w:trHeight w:val="1296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 по методу измерения параметров транспортных средств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 алгоритмом трекинга транспортных средств (ТР)</w:t>
            </w:r>
          </w:p>
        </w:tc>
      </w:tr>
      <w:tr>
        <w:trPr>
          <w:trHeight w:val="102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 по принципу измерения параметров транспортных средств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Радиолокационное (Р)</w:t>
            </w:r>
          </w:p>
        </w:tc>
      </w:tr>
      <w:tr>
        <w:trPr>
          <w:trHeight w:val="744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 по способу измерения скорости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Комбинированное</w:t>
            </w:r>
          </w:p>
        </w:tc>
      </w:tr>
      <w:tr>
        <w:trPr>
          <w:trHeight w:val="102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Возможность удаленного управления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Да</w:t>
            </w:r>
          </w:p>
        </w:tc>
      </w:tr>
      <w:tr>
        <w:trPr>
          <w:trHeight w:val="1018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Количество контролируемых полос движения,шт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</w:t>
            </w:r>
          </w:p>
        </w:tc>
      </w:tr>
      <w:tr>
        <w:trPr>
          <w:trHeight w:val="102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Максимальная потребляемая мощность, Ватт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&lt; 50</w:t>
            </w:r>
          </w:p>
        </w:tc>
      </w:tr>
      <w:tr>
        <w:trPr>
          <w:trHeight w:val="744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Степень защиты 1Р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1Р 66</w:t>
            </w:r>
          </w:p>
        </w:tc>
      </w:tr>
      <w:tr>
        <w:trPr>
          <w:trHeight w:val="749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Тип изображения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Цветное</w:t>
            </w:r>
          </w:p>
        </w:tc>
      </w:tr>
      <w:tr>
        <w:trPr>
          <w:trHeight w:val="907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Тип канала связи для передачи информации на внешний аппаратно-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Беспроводной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413"/>
        <w:gridCol w:w="2328"/>
        <w:gridCol w:w="3826"/>
        <w:gridCol w:w="2659"/>
      </w:tblGrid>
      <w:tr>
        <w:trPr>
          <w:trHeight w:val="7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программный комплекс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4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28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280" w:after="80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Техническое средство автоматической фотовидеофиксации для обеспечения контроля дорожного движения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80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26.51.66.190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26.51.66.190</w:t>
              <w:softHyphen/>
              <w:t>00000023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 по степени мобильности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Стационарный (С)</w:t>
            </w:r>
          </w:p>
        </w:tc>
      </w:tr>
      <w:tr>
        <w:trPr>
          <w:trHeight w:val="129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Анализ, хранение, передача информации в центры ее обработки</w:t>
            </w:r>
          </w:p>
        </w:tc>
      </w:tr>
      <w:tr>
        <w:trPr>
          <w:trHeight w:val="74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Фото и видеофиксация</w:t>
            </w:r>
          </w:p>
        </w:tc>
      </w:tr>
      <w:tr>
        <w:trPr>
          <w:trHeight w:val="10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Проверка автомобилей по базам розыска</w:t>
            </w:r>
          </w:p>
        </w:tc>
      </w:tr>
      <w:tr>
        <w:trPr>
          <w:trHeight w:val="15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28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Считывание и распознавание регистрационных знаков транспортных средств</w:t>
            </w:r>
          </w:p>
        </w:tc>
      </w:tr>
      <w:tr>
        <w:trPr>
          <w:trHeight w:val="74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Разрешение матрицы, Мп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&gt; 3 и &lt; 5</w:t>
            </w:r>
          </w:p>
        </w:tc>
      </w:tr>
      <w:tr>
        <w:trPr>
          <w:trHeight w:val="74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Цифровое увеличение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12х</w:t>
            </w:r>
          </w:p>
        </w:tc>
      </w:tr>
      <w:tr>
        <w:trPr>
          <w:trHeight w:val="10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 по методу измерения параметров транспортных средств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Без алгоритма трекинга транспортных средств</w:t>
            </w:r>
          </w:p>
        </w:tc>
      </w:tr>
      <w:tr>
        <w:trPr>
          <w:trHeight w:val="101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Возможность удаленного управления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Да</w:t>
            </w:r>
          </w:p>
        </w:tc>
      </w:tr>
      <w:tr>
        <w:trPr>
          <w:trHeight w:val="10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Максимальная потребляемая мощность, Ватт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&lt; 100</w:t>
            </w:r>
          </w:p>
        </w:tc>
      </w:tr>
      <w:tr>
        <w:trPr>
          <w:trHeight w:val="74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Степень защиты 1Р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1Р 66</w:t>
            </w:r>
          </w:p>
        </w:tc>
      </w:tr>
      <w:tr>
        <w:trPr>
          <w:trHeight w:val="74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Тип изображения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Цветное</w:t>
            </w:r>
          </w:p>
        </w:tc>
      </w:tr>
      <w:tr>
        <w:trPr>
          <w:trHeight w:val="129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Тип канала связи для передачи информации на внешний аппаратно</w:t>
              <w:softHyphen/>
              <w:t>программный комплекс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Беспроводной</w:t>
            </w:r>
          </w:p>
        </w:tc>
      </w:tr>
      <w:tr>
        <w:trPr>
          <w:trHeight w:val="749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Фиксируемое событие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С2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как следует из Извещения, Заказчиком при описании объекта закупки использовались позиции, соответствующие КТРУ.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Воронежского УФАС России приходит к выводу о том, что Заказчиком в полной и достаточной мере в приложении № 1 к Описанию объекта закупки определены состав и содержание монтажных и пусконаладочных работ, результатом выполнения которых является полностью настроенный товар (готовый для передачи информации о зафиксированных нарушениях правил дорожного движения и о зафиксированных потоках транспортных средств в специальное программное обеспечение МВД РФ для контроля за передвижением транспортных средств (СПО «Паутина»)).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 Заявителя о включении в извещение о проведении электронного аукциона дополнительных характеристик к поставляемому товару является несостоятельным и в действиях Заказчика отсутствуют нарушения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доводу № 3 жалобы Заявителя (Установления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значения) Комиссия Воронежского УФАС России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положений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7" w:val="left"/>
        </w:tabs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"или эквивалент";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7" w:val="left"/>
        </w:tabs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7" w:val="left"/>
        </w:tabs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7" w:val="left"/>
        </w:tabs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пунктом 2 части 1 статьи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2 статьи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Также, Заявитель указывает на ряд характеристик, которые являются избыточными и не соответствуют ГОСТ Р 57144-2016, а именно:</w:t>
      </w:r>
    </w:p>
    <w:tbl>
      <w:tblPr>
        <w:tblOverlap w:val="never"/>
        <w:jc w:val="left"/>
        <w:tblLayout w:type="fixed"/>
      </w:tblPr>
      <w:tblGrid>
        <w:gridCol w:w="7675"/>
        <w:gridCol w:w="1814"/>
      </w:tblGrid>
      <w:tr>
        <w:trPr>
          <w:trHeight w:val="169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Диапазон рабочих температур ТСАФ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Не уже чем от -40° С до +60 °С</w:t>
            </w:r>
          </w:p>
        </w:tc>
      </w:tr>
      <w:tr>
        <w:trPr>
          <w:trHeight w:val="132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Максимальная ширина Зоны контроля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Не менее 16 м</w:t>
            </w:r>
          </w:p>
        </w:tc>
      </w:tr>
      <w:tr>
        <w:trPr>
          <w:trHeight w:val="132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Нижний предел диапазона измеряемой скорости движения ТС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Не более 1 км/ч</w:t>
            </w:r>
          </w:p>
        </w:tc>
      </w:tr>
      <w:tr>
        <w:trPr>
          <w:trHeight w:val="132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Верхний предел диапазона измеряемой скорости движения ТС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Не менее 350 км/ч</w:t>
            </w:r>
          </w:p>
        </w:tc>
      </w:tr>
      <w:tr>
        <w:trPr>
          <w:trHeight w:val="96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Нижний предел диапазона измеряемой скорости движения ТС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От 0 км/ч</w:t>
            </w:r>
          </w:p>
        </w:tc>
      </w:tr>
      <w:tr>
        <w:trPr>
          <w:trHeight w:val="69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Верхний предел диапазона измеряемой скорости движения ТС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Не менее 350</w:t>
            </w:r>
          </w:p>
        </w:tc>
      </w:tr>
    </w:tbl>
    <w:tbl>
      <w:tblPr>
        <w:tblOverlap w:val="never"/>
        <w:jc w:val="left"/>
        <w:tblLayout w:type="fixed"/>
      </w:tblPr>
      <w:tblGrid>
        <w:gridCol w:w="7675"/>
        <w:gridCol w:w="1814"/>
      </w:tblGrid>
      <w:tr>
        <w:trPr>
          <w:trHeight w:val="96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км/ч</w:t>
            </w:r>
          </w:p>
        </w:tc>
      </w:tr>
      <w:tr>
        <w:trPr>
          <w:trHeight w:val="132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Абсолютная погрешность привязки текущего времени измерителя к Шкале времени иТ8 (8и)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Не более +</w:t>
              <w:softHyphen/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1 мкс</w:t>
            </w:r>
          </w:p>
        </w:tc>
      </w:tr>
      <w:tr>
        <w:trPr>
          <w:trHeight w:val="133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Абсолютная погрешность привязки текущего времени измерителя к Шкале времени иТ8 (8и)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Не более +</w:t>
              <w:softHyphen/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5 мкс</w:t>
            </w:r>
          </w:p>
        </w:tc>
      </w:tr>
    </w:tbl>
    <w:p>
      <w:pPr>
        <w:widowControl w:val="0"/>
        <w:spacing w:after="57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пунктам 1, 2 статьи 4 Федерального закона от 29.06.2015 года № 162- ФЗ «О стандартизации» (далее - Закон о стандартизации), стандартизация в Российской Федерации основывается на следующих принципах: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добровольность применения документов по стандартизации;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обязательность применения документов по стандартизации в отношении объектов стандартизации, предусмотренных статьей 6 настоящего Федерального закона, а также включенных в определенный Правительством Российской Федерации перечень документов по стандартизации, обязательное применение которых обеспечивает безопасность дорожного движения при его организации на территории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04.11.2017 года № 2438-р «Об утверждении перечня документов по стандартизации, обязательное применение которых обеспечивает безопасность дорожного движения при его организации на территории Российской Федерации» (далее - Постановление № 2438-р) утвержден перечень документов по стандартизации, обязательное применение которых обеспечивает безопасность дорожного движения при его организации на территории российской федерации (далее - Перечень).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Воронежского УФАС России установлено, что областью применения ГОСТ Р 57144-2016 являются Комплексы, а не требования к результату выполненных монтажных и пусконаладочных работ в рамках поставки Комплекса.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Воронежского УФАС России также установлено, что в требовании к результату выполненных работ (приложение № 1 к Описанию объекта закупки) Заказчиком указаны предельные значения, которые не противоречат ГОСТ Р 57144</w:t>
        <w:softHyphen/>
        <w:t>2016, а определяют значения показателей в связи с потребностью Заказчика («нижний предел диапазона измеряемой скорости движения транспортного средства (далее - ТС) не более от 0 км/ч» установлен с целью выявления нарушения правил дорожного движения на выделенных полосах для движения маршрутных транспортных средств в части фиксации движения и остановки ТС на указанной полосе, а «верхний предел диапазона измеряемой скорости движения ТС не менее 350 км/ч» установлен в связи с тем, что впоследствии, с учетом требований федерального закона от 08.11.2007 № 257-ФЗ (в ред. от 14.11.2023)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постановления правительства Российской Федерации от 01.06.2024 № 754 «О размещении стационарных средств фиксации, передвижных средств фиксации или мобильных средств фиксации», в связи с изменением ситуации по аварийности, Комплекс может быть перенесен на новый рубеж контроля - на скоростную дорогу или автомагистраль, при этом, как показывает практика, скорость движения отдельных ТС на указанных автомобильных дорогах может достигать 300 и более км/ч; «абсолютная погрешность привязки текущего времени измерителя к Шкале времени иТС (Зи) не более ± 1 мкс» установлена в связи с текущей помеховой ситуацией приема спутниковых сигналов навигационных систем ГЛОНАСС/ОРЗ на территории Воронежской области в связи с проведением специальных мероприятий и необходимости точного определения временных параметров при фиксации нарушений ПДД).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 при формировании Описания объекта закупки исходил из собственных потребностей, а также практики применения технических средств, имеющих функции фотосъемки и видеозаписи, фиксации административных правонарушений в области дорожного движения на территории Воронежской области.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из буквального толкования п. 2 ч. 1 ст. 33 Закона о контрактной системе следует, что Заказчик при использовании технических регламентов и документов о стандартизации обязан обосновывать в описании объекта закупки лишь те характеристики, которые отличаются от установленных в данных регламентах показателей.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Заказчик в Описании объекта закупки указал требования к результату выполненных работ с учетом своей потребности, что не противоречит положениям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Воронежского УФАС России признает довод Заявителя о несоответствии установленных описанием объекта закупки характеристик несоответствующими положениям ГОСТ Р 57144-2016, а также об отсутствии обоснования необходимости конкретных характеристик поставляемого товара необоснованным.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Воронежского УФАС России не усматривает нарушений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ст.ст. 99, 106 Закона о контрактной системе, Комиссия Воронежского УФАС России,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«АйтиПроект» на действия КУ ВО «Региональный центр безопасности» и Министерства по регулированию контрактной системы в сфере закупок Воронежской области при проведении открытого конкурса в электронной форме на поставку продукции радиоэлектронной промышленности (технических средств автоматической фотовидеофиксации для обеспечения контроля дорожного движения с монтажными и пусконаладочными работами) (номер извещения 0131200001024007623) необоснованной.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853" w:right="593" w:bottom="1151" w:left="969" w:header="425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решение может быть обжаловано в судебном порядке в течение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6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2880" w:h="394" w:wrap="none" w:vAnchor="text" w:hAnchor="page" w:x="107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6"/>
        <w:keepNext w:val="0"/>
        <w:keepLines w:val="0"/>
        <w:framePr w:w="2011" w:h="158" w:wrap="none" w:vAnchor="text" w:hAnchor="page" w:x="4824" w:y="75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framePr w:w="2717" w:h="403" w:wrap="none" w:vAnchor="text" w:hAnchor="page" w:x="4752" w:y="256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4"/>
        <w:keepNext w:val="0"/>
        <w:keepLines w:val="0"/>
        <w:framePr w:w="1464" w:h="394" w:wrap="none" w:vAnchor="text" w:hAnchor="page" w:x="976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С.В. Михин</w:t>
      </w:r>
    </w:p>
    <w:p>
      <w:pPr>
        <w:pStyle w:val="Style29"/>
        <w:keepNext w:val="0"/>
        <w:keepLines w:val="0"/>
        <w:framePr w:w="3451" w:h="470" w:wrap="none" w:vAnchor="text" w:hAnchor="page" w:x="4118" w:y="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Михин Сергей Васильевич</w:t>
      </w:r>
    </w:p>
    <w:p>
      <w:pPr>
        <w:pStyle w:val="Style29"/>
        <w:keepNext w:val="0"/>
        <w:keepLines w:val="0"/>
        <w:framePr w:w="3451" w:h="470" w:wrap="none" w:vAnchor="text" w:hAnchor="page" w:x="4118" w:y="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00Е703А2О6В6Э6Е27134В7С051С5С23259</w:t>
      </w:r>
    </w:p>
    <w:p>
      <w:pPr>
        <w:pStyle w:val="Style29"/>
        <w:keepNext w:val="0"/>
        <w:keepLines w:val="0"/>
        <w:framePr w:w="3451" w:h="470" w:wrap="none" w:vAnchor="text" w:hAnchor="page" w:x="4118" w:y="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20.11.2023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12.02.2025</w:t>
      </w:r>
    </w:p>
    <w:p>
      <w:pPr>
        <w:pStyle w:val="Style14"/>
        <w:keepNext w:val="0"/>
        <w:keepLines w:val="0"/>
        <w:framePr w:w="2827" w:h="720" w:wrap="none" w:vAnchor="text" w:hAnchor="page" w:x="1075" w:y="1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</w:t>
      </w:r>
    </w:p>
    <w:p>
      <w:pPr>
        <w:pStyle w:val="Style14"/>
        <w:keepNext w:val="0"/>
        <w:keepLines w:val="0"/>
        <w:framePr w:w="2827" w:h="720" w:wrap="none" w:vAnchor="text" w:hAnchor="page" w:x="1075" w:y="1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</w:t>
      </w:r>
    </w:p>
    <w:p>
      <w:pPr>
        <w:pStyle w:val="Style26"/>
        <w:keepNext w:val="0"/>
        <w:keepLines w:val="0"/>
        <w:framePr w:w="2011" w:h="163" w:wrap="none" w:vAnchor="text" w:hAnchor="page" w:x="4824" w:y="2468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E7E7E7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framePr w:w="2717" w:h="403" w:wrap="none" w:vAnchor="text" w:hAnchor="page" w:x="4752" w:y="197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14"/>
        <w:keepNext w:val="0"/>
        <w:keepLines w:val="0"/>
        <w:framePr w:w="1637" w:h="398" w:wrap="none" w:vAnchor="text" w:hAnchor="page" w:x="9590" w:y="1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И.А. Тельпов</w:t>
      </w:r>
    </w:p>
    <w:p>
      <w:pPr>
        <w:pStyle w:val="Style14"/>
        <w:keepNext w:val="0"/>
        <w:keepLines w:val="0"/>
        <w:framePr w:w="1848" w:h="394" w:wrap="none" w:vAnchor="text" w:hAnchor="page" w:x="1070" w:y="3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</w:t>
      </w:r>
    </w:p>
    <w:p>
      <w:pPr>
        <w:pStyle w:val="Style29"/>
        <w:keepNext w:val="0"/>
        <w:keepLines w:val="0"/>
        <w:framePr w:w="3475" w:h="470" w:wrap="none" w:vAnchor="text" w:hAnchor="page" w:x="4118" w:y="2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Тельпов Иван Алексеевич</w:t>
      </w:r>
    </w:p>
    <w:p>
      <w:pPr>
        <w:pStyle w:val="Style29"/>
        <w:keepNext w:val="0"/>
        <w:keepLines w:val="0"/>
        <w:framePr w:w="3475" w:h="470" w:wrap="none" w:vAnchor="text" w:hAnchor="page" w:x="4118" w:y="2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00ААЕ5В428Е8А01</w:t>
      </w: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>093СО59Е65Е2Е7А73Е</w:t>
      </w: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>5</w:t>
      </w:r>
    </w:p>
    <w:p>
      <w:pPr>
        <w:pStyle w:val="Style29"/>
        <w:keepNext w:val="0"/>
        <w:keepLines w:val="0"/>
        <w:framePr w:w="3475" w:h="470" w:wrap="none" w:vAnchor="text" w:hAnchor="page" w:x="4118" w:y="2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22.04.2024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16.07.2025</w:t>
      </w:r>
    </w:p>
    <w:p>
      <w:pPr>
        <w:pStyle w:val="Style37"/>
        <w:keepNext w:val="0"/>
        <w:keepLines w:val="0"/>
        <w:framePr w:w="2717" w:h="403" w:wrap="none" w:vAnchor="text" w:hAnchor="page" w:x="4752" w:y="369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9"/>
        <w:keepNext w:val="0"/>
        <w:keepLines w:val="0"/>
        <w:framePr w:w="2021" w:h="163" w:wrap="none" w:vAnchor="text" w:hAnchor="page" w:x="4824" w:y="4187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E7E7E7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E7E7E7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ЭП</w:t>
      </w:r>
    </w:p>
    <w:p>
      <w:pPr>
        <w:pStyle w:val="Style29"/>
        <w:keepNext w:val="0"/>
        <w:keepLines w:val="0"/>
        <w:framePr w:w="3466" w:h="470" w:wrap="none" w:vAnchor="text" w:hAnchor="page" w:x="4118" w:y="4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Апанащик Ульяна Алексеевна</w:t>
      </w:r>
    </w:p>
    <w:p>
      <w:pPr>
        <w:pStyle w:val="Style29"/>
        <w:keepNext w:val="0"/>
        <w:keepLines w:val="0"/>
        <w:framePr w:w="3466" w:h="470" w:wrap="none" w:vAnchor="text" w:hAnchor="page" w:x="4118" w:y="4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>00СВ84С93Р9ОЕВ75С6О234В637ЕС6В5Е6</w:t>
      </w: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9"/>
        <w:keepNext w:val="0"/>
        <w:keepLines w:val="0"/>
        <w:framePr w:w="3466" w:h="470" w:wrap="none" w:vAnchor="text" w:hAnchor="page" w:x="4118" w:y="4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27.09.2023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20.12.2024</w:t>
      </w:r>
    </w:p>
    <w:p>
      <w:pPr>
        <w:pStyle w:val="Style14"/>
        <w:keepNext w:val="0"/>
        <w:keepLines w:val="0"/>
        <w:framePr w:w="1867" w:h="394" w:wrap="none" w:vAnchor="text" w:hAnchor="page" w:x="9370" w:y="3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У.А. Апанащик</w:t>
      </w:r>
    </w:p>
    <w:p>
      <w:pPr>
        <w:widowControl w:val="0"/>
        <w:spacing w:line="360" w:lineRule="exact"/>
      </w:pPr>
      <w:r>
        <w:drawing>
          <wp:anchor distT="0" distB="0" distL="0" distR="1789430" simplePos="0" relativeHeight="62914696" behindDoc="1" locked="0" layoutInCell="1" allowOverlap="1">
            <wp:simplePos x="0" y="0"/>
            <wp:positionH relativeFrom="page">
              <wp:posOffset>2566035</wp:posOffset>
            </wp:positionH>
            <wp:positionV relativeFrom="paragraph">
              <wp:posOffset>36830</wp:posOffset>
            </wp:positionV>
            <wp:extent cx="389890" cy="572770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789430" simplePos="0" relativeHeight="62914697" behindDoc="1" locked="0" layoutInCell="1" allowOverlap="1">
            <wp:simplePos x="0" y="0"/>
            <wp:positionH relativeFrom="page">
              <wp:posOffset>2566035</wp:posOffset>
            </wp:positionH>
            <wp:positionV relativeFrom="paragraph">
              <wp:posOffset>1127760</wp:posOffset>
            </wp:positionV>
            <wp:extent cx="389890" cy="572770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0" w:bottom="96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10029190</wp:posOffset>
              </wp:positionV>
              <wp:extent cx="6489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2024-6719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649999999999999pt;margin-top:789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2024-6719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2024-6719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2024-6719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10029190</wp:posOffset>
              </wp:positionV>
              <wp:extent cx="6489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2024-6719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649999999999999pt;margin-top:789.7000000000000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2024-6719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F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Основной текст (5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22">
    <w:name w:val="Друго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7">
    <w:name w:val="Подпись к картинке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30">
    <w:name w:val="Основной текст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6B6B6B"/>
      <w:sz w:val="12"/>
      <w:szCs w:val="12"/>
      <w:u w:val="none"/>
    </w:rPr>
  </w:style>
  <w:style w:type="character" w:customStyle="1" w:styleId="CharStyle38">
    <w:name w:val="Основной текст (4)_"/>
    <w:basedOn w:val="DefaultParagraphFont"/>
    <w:link w:val="Style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 w:line="26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F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spacing w:after="60"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1">
    <w:name w:val="Другое"/>
    <w:basedOn w:val="Normal"/>
    <w:link w:val="CharStyle22"/>
    <w:pPr>
      <w:widowControl w:val="0"/>
      <w:shd w:val="clear" w:color="auto" w:fill="auto"/>
      <w:spacing w:after="60"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6">
    <w:name w:val="Подпись к картинке"/>
    <w:basedOn w:val="Normal"/>
    <w:link w:val="CharStyle2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9">
    <w:name w:val="Основной текст (2)"/>
    <w:basedOn w:val="Normal"/>
    <w:link w:val="CharStyle30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B6B6B"/>
      <w:sz w:val="12"/>
      <w:szCs w:val="12"/>
      <w:u w:val="none"/>
    </w:rPr>
  </w:style>
  <w:style w:type="paragraph" w:customStyle="1" w:styleId="Style37">
    <w:name w:val="Основной текст (4)"/>
    <w:basedOn w:val="Normal"/>
    <w:link w:val="CharStyle3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