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65860" distR="1108075" simplePos="0" relativeHeight="125829378" behindDoc="0" locked="0" layoutInCell="1" allowOverlap="1">
            <wp:simplePos x="0" y="0"/>
            <wp:positionH relativeFrom="page">
              <wp:posOffset>1778000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726440</wp:posOffset>
                </wp:positionH>
                <wp:positionV relativeFrom="paragraph">
                  <wp:posOffset>728980</wp:posOffset>
                </wp:positionV>
                <wp:extent cx="2578735" cy="2060575"/>
                <wp:wrapSquare wrapText="right"/>
                <wp:docPr id="3" name="Shape 3"/>
                <a:graphic xmlns:a="http://schemas.openxmlformats.org/drawingml/2006/main">
                  <a:graphicData uri="http://schemas.microsoft.com/office/word/2010/wordprocessingShape">
                    <wps:wsp>
                      <wps:cNvSpPr txBox="1"/>
                      <wps:spPr>
                        <a:xfrm>
                          <a:ext cx="2578735" cy="20605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64, г. Пермь, 614990</w:t>
                              <w:br/>
                              <w:t>тел. (342) 235-12-00, факс (342) 235-10-67</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е-таИ: 1о59@Газ.§оу.ги</w:t>
                            </w:r>
                          </w:p>
                          <w:p>
                            <w:pPr>
                              <w:pStyle w:val="Style2"/>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сайт: тс\с.регт.1гь.росте</w:t>
                            </w:r>
                          </w:p>
                          <w:p>
                            <w:pPr>
                              <w:pStyle w:val="Style7"/>
                              <w:keepNext w:val="0"/>
                              <w:keepLines w:val="0"/>
                              <w:widowControl w:val="0"/>
                              <w:shd w:val="clear" w:color="auto" w:fill="auto"/>
                              <w:tabs>
                                <w:tab w:pos="1838" w:val="left"/>
                              </w:tabs>
                              <w:bidi w:val="0"/>
                              <w:spacing w:before="0" w:line="240" w:lineRule="auto"/>
                              <w:ind w:left="0" w:right="0" w:firstLine="0"/>
                              <w:jc w:val="center"/>
                            </w:pP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03.09.2024</w:t>
                            </w:r>
                            <w:r>
                              <w:fldChar w:fldCharType="end"/>
                            </w:r>
                            <w:r>
                              <w:rPr>
                                <w:color w:val="000000"/>
                                <w:spacing w:val="0"/>
                                <w:w w:val="100"/>
                                <w:position w:val="0"/>
                                <w:shd w:val="clear" w:color="auto" w:fill="auto"/>
                                <w:lang w:val="ru-RU" w:eastAsia="ru-RU" w:bidi="ru-RU"/>
                              </w:rPr>
                              <w:tab/>
                              <w:t>№ 9258/24</w:t>
                            </w:r>
                          </w:p>
                          <w:p>
                            <w:pPr>
                              <w:pStyle w:val="Style5"/>
                              <w:keepNext w:val="0"/>
                              <w:keepLines w:val="0"/>
                              <w:widowControl w:val="0"/>
                              <w:shd w:val="clear" w:color="auto" w:fill="auto"/>
                              <w:bidi w:val="0"/>
                              <w:spacing w:before="0" w:after="12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200000000000003pt;margin-top:57.399999999999999pt;width:203.05000000000001pt;height:162.25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64, г. Пермь, 614990</w:t>
                        <w:br/>
                        <w:t>тел. (342) 235-12-00, факс (342) 235-10-67</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е-таИ: 1о59@Газ.§оу.ги</w:t>
                      </w:r>
                    </w:p>
                    <w:p>
                      <w:pPr>
                        <w:pStyle w:val="Style2"/>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сайт: тс\с.регт.1гь.росте</w:t>
                      </w:r>
                    </w:p>
                    <w:p>
                      <w:pPr>
                        <w:pStyle w:val="Style7"/>
                        <w:keepNext w:val="0"/>
                        <w:keepLines w:val="0"/>
                        <w:widowControl w:val="0"/>
                        <w:shd w:val="clear" w:color="auto" w:fill="auto"/>
                        <w:tabs>
                          <w:tab w:pos="1838" w:val="left"/>
                        </w:tabs>
                        <w:bidi w:val="0"/>
                        <w:spacing w:before="0" w:line="240" w:lineRule="auto"/>
                        <w:ind w:left="0" w:right="0" w:firstLine="0"/>
                        <w:jc w:val="center"/>
                      </w:pP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03.09.2024</w:t>
                      </w:r>
                      <w:r>
                        <w:fldChar w:fldCharType="end"/>
                      </w:r>
                      <w:r>
                        <w:rPr>
                          <w:color w:val="000000"/>
                          <w:spacing w:val="0"/>
                          <w:w w:val="100"/>
                          <w:position w:val="0"/>
                          <w:shd w:val="clear" w:color="auto" w:fill="auto"/>
                          <w:lang w:val="ru-RU" w:eastAsia="ru-RU" w:bidi="ru-RU"/>
                        </w:rPr>
                        <w:tab/>
                        <w:t>№ 9258/24</w:t>
                      </w:r>
                    </w:p>
                    <w:p>
                      <w:pPr>
                        <w:pStyle w:val="Style5"/>
                        <w:keepNext w:val="0"/>
                        <w:keepLines w:val="0"/>
                        <w:widowControl w:val="0"/>
                        <w:shd w:val="clear" w:color="auto" w:fill="auto"/>
                        <w:bidi w:val="0"/>
                        <w:spacing w:before="0" w:after="12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txbxContent>
                </v:textbox>
                <w10:wrap type="square" side="right" anchorx="page"/>
              </v:shape>
            </w:pict>
          </mc:Fallback>
        </mc:AlternateContent>
      </w:r>
    </w:p>
    <w:p>
      <w:pPr>
        <w:pStyle w:val="Style17"/>
        <w:keepNext/>
        <w:keepLines/>
        <w:widowControl w:val="0"/>
        <w:shd w:val="clear" w:color="auto" w:fill="auto"/>
        <w:bidi w:val="0"/>
        <w:spacing w:before="0" w:after="0" w:line="240" w:lineRule="auto"/>
        <w:ind w:right="0" w:firstLine="0"/>
        <w:jc w:val="both"/>
      </w:pPr>
      <w:bookmarkStart w:id="0" w:name="bookmark0"/>
      <w:r>
        <w:rPr>
          <w:color w:val="000000"/>
          <w:spacing w:val="0"/>
          <w:w w:val="100"/>
          <w:position w:val="0"/>
          <w:sz w:val="24"/>
          <w:szCs w:val="24"/>
          <w:shd w:val="clear" w:color="auto" w:fill="auto"/>
          <w:lang w:val="ru-RU" w:eastAsia="ru-RU" w:bidi="ru-RU"/>
        </w:rPr>
        <w:t>ООО «Брокер Групп»</w:t>
      </w:r>
      <w:bookmarkEnd w:id="0"/>
    </w:p>
    <w:p>
      <w:pPr>
        <w:pStyle w:val="Style13"/>
        <w:keepNext w:val="0"/>
        <w:keepLines w:val="0"/>
        <w:widowControl w:val="0"/>
        <w:shd w:val="clear" w:color="auto" w:fill="auto"/>
        <w:bidi w:val="0"/>
        <w:spacing w:before="0" w:after="0" w:line="240" w:lineRule="auto"/>
        <w:ind w:left="1040" w:right="0" w:firstLine="0"/>
        <w:jc w:val="both"/>
      </w:pPr>
      <w:r>
        <w:rPr>
          <w:color w:val="000000"/>
          <w:spacing w:val="0"/>
          <w:w w:val="100"/>
          <w:position w:val="0"/>
          <w:sz w:val="24"/>
          <w:szCs w:val="24"/>
          <w:shd w:val="clear" w:color="auto" w:fill="auto"/>
          <w:lang w:val="ru-RU" w:eastAsia="ru-RU" w:bidi="ru-RU"/>
        </w:rPr>
        <w:t>614042, г. Пермь, ул. Пензенская, д. 57, кв. 2</w:t>
      </w:r>
    </w:p>
    <w:p>
      <w:pPr>
        <w:pStyle w:val="Style13"/>
        <w:keepNext w:val="0"/>
        <w:keepLines w:val="0"/>
        <w:widowControl w:val="0"/>
        <w:shd w:val="clear" w:color="auto" w:fill="auto"/>
        <w:bidi w:val="0"/>
        <w:spacing w:before="0" w:after="240" w:line="240" w:lineRule="auto"/>
        <w:ind w:left="1040" w:right="0" w:firstLine="0"/>
        <w:jc w:val="both"/>
      </w:pPr>
      <w:r>
        <w:rPr>
          <w:color w:val="000000"/>
          <w:spacing w:val="0"/>
          <w:w w:val="100"/>
          <w:position w:val="0"/>
          <w:sz w:val="24"/>
          <w:szCs w:val="24"/>
          <w:shd w:val="clear" w:color="auto" w:fill="auto"/>
          <w:lang w:val="ru-RU" w:eastAsia="ru-RU" w:bidi="ru-RU"/>
        </w:rPr>
        <w:t>ооо.1епдег.Ьгокег77@дтаП. сот</w:t>
      </w:r>
    </w:p>
    <w:p>
      <w:pPr>
        <w:pStyle w:val="Style13"/>
        <w:keepNext w:val="0"/>
        <w:keepLines w:val="0"/>
        <w:widowControl w:val="0"/>
        <w:shd w:val="clear" w:color="auto" w:fill="auto"/>
        <w:bidi w:val="0"/>
        <w:spacing w:before="0" w:after="0" w:line="240" w:lineRule="auto"/>
        <w:ind w:left="1040" w:right="0" w:firstLine="0"/>
        <w:jc w:val="both"/>
      </w:pPr>
      <w:r>
        <w:rPr>
          <w:b/>
          <w:bCs/>
          <w:color w:val="000000"/>
          <w:spacing w:val="0"/>
          <w:w w:val="100"/>
          <w:position w:val="0"/>
          <w:sz w:val="24"/>
          <w:szCs w:val="24"/>
          <w:shd w:val="clear" w:color="auto" w:fill="auto"/>
          <w:lang w:val="ru-RU" w:eastAsia="ru-RU" w:bidi="ru-RU"/>
        </w:rPr>
        <w:t>КГБОУ «Специальное учебно</w:t>
        <w:softHyphen/>
        <w:t>воспитательное учреждение «Уральское</w:t>
      </w:r>
    </w:p>
    <w:p>
      <w:pPr>
        <w:pStyle w:val="Style13"/>
        <w:keepNext w:val="0"/>
        <w:keepLines w:val="0"/>
        <w:widowControl w:val="0"/>
        <w:shd w:val="clear" w:color="auto" w:fill="auto"/>
        <w:bidi w:val="0"/>
        <w:spacing w:before="0" w:after="0" w:line="240" w:lineRule="auto"/>
        <w:ind w:left="1040" w:right="0" w:firstLine="0"/>
        <w:jc w:val="both"/>
      </w:pPr>
      <w:r>
        <w:rPr>
          <w:b/>
          <w:bCs/>
          <w:color w:val="000000"/>
          <w:spacing w:val="0"/>
          <w:w w:val="100"/>
          <w:position w:val="0"/>
          <w:sz w:val="24"/>
          <w:szCs w:val="24"/>
          <w:shd w:val="clear" w:color="auto" w:fill="auto"/>
          <w:lang w:val="ru-RU" w:eastAsia="ru-RU" w:bidi="ru-RU"/>
        </w:rPr>
        <w:t>Подворье»»</w:t>
      </w:r>
    </w:p>
    <w:p>
      <w:pPr>
        <w:pStyle w:val="Style13"/>
        <w:keepNext w:val="0"/>
        <w:keepLines w:val="0"/>
        <w:widowControl w:val="0"/>
        <w:shd w:val="clear" w:color="auto" w:fill="auto"/>
        <w:bidi w:val="0"/>
        <w:spacing w:before="0" w:after="0" w:line="240" w:lineRule="auto"/>
        <w:ind w:left="1040" w:right="0" w:firstLine="0"/>
        <w:jc w:val="both"/>
      </w:pPr>
      <w:r>
        <w:rPr>
          <w:color w:val="000000"/>
          <w:spacing w:val="0"/>
          <w:w w:val="100"/>
          <w:position w:val="0"/>
          <w:sz w:val="24"/>
          <w:szCs w:val="24"/>
          <w:shd w:val="clear" w:color="auto" w:fill="auto"/>
          <w:lang w:val="ru-RU" w:eastAsia="ru-RU" w:bidi="ru-RU"/>
        </w:rPr>
        <w:t>614065, г. Пермь, ул. Космонавта Беляева, 43/3</w:t>
      </w:r>
    </w:p>
    <w:p>
      <w:pPr>
        <w:pStyle w:val="Style13"/>
        <w:keepNext w:val="0"/>
        <w:keepLines w:val="0"/>
        <w:widowControl w:val="0"/>
        <w:shd w:val="clear" w:color="auto" w:fill="auto"/>
        <w:bidi w:val="0"/>
        <w:spacing w:before="0" w:after="240" w:line="240" w:lineRule="auto"/>
        <w:ind w:left="1040" w:right="0" w:firstLine="0"/>
        <w:jc w:val="both"/>
      </w:pPr>
      <w:r>
        <w:rPr>
          <w:color w:val="000000"/>
          <w:spacing w:val="0"/>
          <w:w w:val="100"/>
          <w:position w:val="0"/>
          <w:sz w:val="24"/>
          <w:szCs w:val="24"/>
          <w:shd w:val="clear" w:color="auto" w:fill="auto"/>
          <w:lang w:val="ru-RU" w:eastAsia="ru-RU" w:bidi="ru-RU"/>
        </w:rPr>
        <w:t>ро^опе-Шг@таП.ги</w:t>
      </w:r>
    </w:p>
    <w:p>
      <w:pPr>
        <w:pStyle w:val="Style17"/>
        <w:keepNext/>
        <w:keepLines/>
        <w:widowControl w:val="0"/>
        <w:shd w:val="clear" w:color="auto" w:fill="auto"/>
        <w:bidi w:val="0"/>
        <w:spacing w:before="0" w:after="0" w:line="240" w:lineRule="auto"/>
        <w:ind w:right="0" w:firstLine="0"/>
        <w:jc w:val="both"/>
      </w:pPr>
      <w:bookmarkStart w:id="2" w:name="bookmark2"/>
      <w:r>
        <w:rPr>
          <w:color w:val="000000"/>
          <w:spacing w:val="0"/>
          <w:w w:val="100"/>
          <w:position w:val="0"/>
          <w:sz w:val="24"/>
          <w:szCs w:val="24"/>
          <w:shd w:val="clear" w:color="auto" w:fill="auto"/>
          <w:lang w:val="ru-RU" w:eastAsia="ru-RU" w:bidi="ru-RU"/>
        </w:rPr>
        <w:t>АО «ТЭК-Торг»</w:t>
      </w:r>
      <w:bookmarkEnd w:id="2"/>
    </w:p>
    <w:p>
      <w:pPr>
        <w:pStyle w:val="Style13"/>
        <w:keepNext w:val="0"/>
        <w:keepLines w:val="0"/>
        <w:widowControl w:val="0"/>
        <w:shd w:val="clear" w:color="auto" w:fill="auto"/>
        <w:bidi w:val="0"/>
        <w:spacing w:before="0" w:after="700" w:line="240" w:lineRule="auto"/>
        <w:ind w:left="1040" w:right="0" w:firstLine="0"/>
        <w:jc w:val="both"/>
      </w:pPr>
      <w:r>
        <w:rPr>
          <w:color w:val="000000"/>
          <w:spacing w:val="0"/>
          <w:w w:val="100"/>
          <w:position w:val="0"/>
          <w:sz w:val="24"/>
          <w:szCs w:val="24"/>
          <w:shd w:val="clear" w:color="auto" w:fill="auto"/>
          <w:lang w:val="ru-RU" w:eastAsia="ru-RU" w:bidi="ru-RU"/>
        </w:rPr>
        <w:t>Ье1р@1ек1огд.ш</w:t>
      </w:r>
    </w:p>
    <w:p>
      <w:pPr>
        <w:pStyle w:val="Style13"/>
        <w:keepNext w:val="0"/>
        <w:keepLines w:val="0"/>
        <w:widowControl w:val="0"/>
        <w:shd w:val="clear" w:color="auto" w:fill="auto"/>
        <w:bidi w:val="0"/>
        <w:spacing w:before="0" w:after="60" w:line="240" w:lineRule="auto"/>
        <w:ind w:left="0" w:right="0" w:firstLine="0"/>
        <w:jc w:val="both"/>
      </w:pPr>
      <w:r>
        <w:rPr>
          <w:color w:val="000000"/>
          <w:spacing w:val="0"/>
          <w:w w:val="100"/>
          <w:position w:val="0"/>
          <w:sz w:val="24"/>
          <w:szCs w:val="24"/>
          <w:shd w:val="clear" w:color="auto" w:fill="auto"/>
          <w:lang w:val="ru-RU" w:eastAsia="ru-RU" w:bidi="ru-RU"/>
        </w:rPr>
        <w:t>Решение</w:t>
      </w:r>
    </w:p>
    <w:p>
      <w:pPr>
        <w:pStyle w:val="Style17"/>
        <w:keepNext/>
        <w:keepLines/>
        <w:widowControl w:val="0"/>
        <w:shd w:val="clear" w:color="auto" w:fill="auto"/>
        <w:bidi w:val="0"/>
        <w:spacing w:before="0" w:after="0" w:line="240" w:lineRule="auto"/>
        <w:ind w:left="0" w:right="0" w:firstLine="0"/>
        <w:jc w:val="center"/>
      </w:pPr>
      <w:bookmarkStart w:id="4" w:name="bookmark4"/>
      <w:r>
        <w:rPr>
          <w:color w:val="000000"/>
          <w:spacing w:val="0"/>
          <w:w w:val="100"/>
          <w:position w:val="0"/>
          <w:sz w:val="24"/>
          <w:szCs w:val="24"/>
          <w:shd w:val="clear" w:color="auto" w:fill="auto"/>
          <w:lang w:val="ru-RU" w:eastAsia="ru-RU" w:bidi="ru-RU"/>
        </w:rPr>
        <w:t>РЕШЕНИЕ по делу № 059/06/105-1052/2024</w:t>
      </w:r>
      <w:bookmarkEnd w:id="4"/>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(жалоба ООО «Брокер Групп», вх. № 12561/24 от 23.08.2024 г.)</w:t>
      </w:r>
    </w:p>
    <w:p>
      <w:pPr>
        <w:pStyle w:val="Style17"/>
        <w:keepNext/>
        <w:keepLines/>
        <w:widowControl w:val="0"/>
        <w:shd w:val="clear" w:color="auto" w:fill="auto"/>
        <w:tabs>
          <w:tab w:pos="9216" w:val="left"/>
        </w:tabs>
        <w:bidi w:val="0"/>
        <w:spacing w:before="0" w:after="0" w:line="240" w:lineRule="auto"/>
        <w:ind w:left="0" w:right="0" w:firstLine="0"/>
        <w:jc w:val="both"/>
      </w:pPr>
      <w:bookmarkStart w:id="6" w:name="bookmark6"/>
      <w:r>
        <w:rPr>
          <w:color w:val="000000"/>
          <w:spacing w:val="0"/>
          <w:w w:val="100"/>
          <w:position w:val="0"/>
          <w:sz w:val="24"/>
          <w:szCs w:val="24"/>
          <w:shd w:val="clear" w:color="auto" w:fill="auto"/>
          <w:lang w:val="ru-RU" w:eastAsia="ru-RU" w:bidi="ru-RU"/>
        </w:rPr>
        <w:t>29.08.2024 г.</w:t>
        <w:tab/>
        <w:t>г. Пермь</w:t>
      </w:r>
      <w:bookmarkEnd w:id="6"/>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Пермскому краю (далее - Комиссия) в составе:</w:t>
      </w:r>
    </w:p>
    <w:p>
      <w:pPr>
        <w:pStyle w:val="Style13"/>
        <w:keepNext w:val="0"/>
        <w:keepLines w:val="0"/>
        <w:widowControl w:val="0"/>
        <w:shd w:val="clear" w:color="auto" w:fill="auto"/>
        <w:bidi w:val="0"/>
        <w:spacing w:before="0" w:after="0"/>
        <w:ind w:left="0" w:right="0" w:firstLine="740"/>
        <w:jc w:val="both"/>
      </w:pPr>
      <w:r>
        <w:rPr>
          <w:b/>
          <w:bCs/>
          <w:color w:val="000000"/>
          <w:spacing w:val="0"/>
          <w:w w:val="100"/>
          <w:position w:val="0"/>
          <w:sz w:val="24"/>
          <w:szCs w:val="24"/>
          <w:shd w:val="clear" w:color="auto" w:fill="auto"/>
          <w:lang w:val="ru-RU" w:eastAsia="ru-RU" w:bidi="ru-RU"/>
        </w:rPr>
        <w:t xml:space="preserve">Председатель Комиссии - Субботина Е.С., </w:t>
      </w:r>
      <w:r>
        <w:rPr>
          <w:color w:val="000000"/>
          <w:spacing w:val="0"/>
          <w:w w:val="100"/>
          <w:position w:val="0"/>
          <w:sz w:val="24"/>
          <w:szCs w:val="24"/>
          <w:shd w:val="clear" w:color="auto" w:fill="auto"/>
          <w:lang w:val="ru-RU" w:eastAsia="ru-RU" w:bidi="ru-RU"/>
        </w:rPr>
        <w:t>начальник отдела контроля закупок,</w:t>
      </w:r>
    </w:p>
    <w:p>
      <w:pPr>
        <w:pStyle w:val="Style13"/>
        <w:keepNext w:val="0"/>
        <w:keepLines w:val="0"/>
        <w:widowControl w:val="0"/>
        <w:shd w:val="clear" w:color="auto" w:fill="auto"/>
        <w:bidi w:val="0"/>
        <w:spacing w:before="0" w:after="60"/>
        <w:ind w:left="0" w:right="0" w:firstLine="740"/>
        <w:jc w:val="both"/>
      </w:pPr>
      <w:r>
        <w:rPr>
          <w:b/>
          <w:bCs/>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numPr>
          <w:ilvl w:val="0"/>
          <w:numId w:val="1"/>
        </w:numPr>
        <w:shd w:val="clear" w:color="auto" w:fill="auto"/>
        <w:tabs>
          <w:tab w:pos="1007" w:val="left"/>
        </w:tabs>
        <w:bidi w:val="0"/>
        <w:spacing w:before="0" w:after="0"/>
        <w:ind w:left="0" w:right="0" w:firstLine="740"/>
        <w:jc w:val="both"/>
      </w:pPr>
      <w:r>
        <w:rPr>
          <w:b/>
          <w:bCs/>
          <w:color w:val="000000"/>
          <w:spacing w:val="0"/>
          <w:w w:val="100"/>
          <w:position w:val="0"/>
          <w:sz w:val="24"/>
          <w:szCs w:val="24"/>
          <w:shd w:val="clear" w:color="auto" w:fill="auto"/>
          <w:lang w:val="ru-RU" w:eastAsia="ru-RU" w:bidi="ru-RU"/>
        </w:rPr>
        <w:t xml:space="preserve">Качин М.Е., </w:t>
      </w:r>
      <w:r>
        <w:rPr>
          <w:color w:val="000000"/>
          <w:spacing w:val="0"/>
          <w:w w:val="100"/>
          <w:position w:val="0"/>
          <w:sz w:val="24"/>
          <w:szCs w:val="24"/>
          <w:shd w:val="clear" w:color="auto" w:fill="auto"/>
          <w:lang w:val="ru-RU" w:eastAsia="ru-RU" w:bidi="ru-RU"/>
        </w:rPr>
        <w:t>ведущий специалист-эксперт отдела контроля закупок,</w:t>
      </w:r>
    </w:p>
    <w:p>
      <w:pPr>
        <w:pStyle w:val="Style13"/>
        <w:keepNext w:val="0"/>
        <w:keepLines w:val="0"/>
        <w:widowControl w:val="0"/>
        <w:numPr>
          <w:ilvl w:val="0"/>
          <w:numId w:val="1"/>
        </w:numPr>
        <w:shd w:val="clear" w:color="auto" w:fill="auto"/>
        <w:tabs>
          <w:tab w:pos="1002" w:val="left"/>
        </w:tabs>
        <w:bidi w:val="0"/>
        <w:spacing w:before="0" w:after="0"/>
        <w:ind w:left="0" w:right="0" w:firstLine="740"/>
        <w:jc w:val="both"/>
      </w:pPr>
      <w:r>
        <w:rPr>
          <w:b/>
          <w:bCs/>
          <w:color w:val="000000"/>
          <w:spacing w:val="0"/>
          <w:w w:val="100"/>
          <w:position w:val="0"/>
          <w:sz w:val="24"/>
          <w:szCs w:val="24"/>
          <w:shd w:val="clear" w:color="auto" w:fill="auto"/>
          <w:lang w:val="ru-RU" w:eastAsia="ru-RU" w:bidi="ru-RU"/>
        </w:rPr>
        <w:t xml:space="preserve">Журавлев М.А., </w:t>
      </w:r>
      <w:r>
        <w:rPr>
          <w:color w:val="000000"/>
          <w:spacing w:val="0"/>
          <w:w w:val="100"/>
          <w:position w:val="0"/>
          <w:sz w:val="24"/>
          <w:szCs w:val="24"/>
          <w:shd w:val="clear" w:color="auto" w:fill="auto"/>
          <w:lang w:val="ru-RU" w:eastAsia="ru-RU" w:bidi="ru-RU"/>
        </w:rPr>
        <w:t>ведущий специалист-эксперт отдела контроля закупок,</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при участии посредством ВКС: представителя КГБОУ «Специальное учебно</w:t>
        <w:softHyphen/>
        <w:t>воспитательное учреждение «Уральское Подворье»» - Шишлевской К.В. (на основании доверенности),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отсутствие представителей ООО «Брокер Групп» (извещены надлежащим образом),</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рассмотрев жалобу ООО «Брокер Групп» (далее - Заявитель) на действия КГБОУ «Специальное учебно-воспитательное учреждение «Уральское Подворье»» (далее - Заказчик) при проведении открытого конкурса в электронной форме на выполнение работ по текущему ремонту основного ограждения здания КГБОУСУВУ «Уральское подворье» по адресу: г. Пермь, ул. Космонавта Беляева, 22а (изв.№ 0356300180424000032),</w:t>
      </w:r>
    </w:p>
    <w:p>
      <w:pPr>
        <w:pStyle w:val="Style17"/>
        <w:keepNext/>
        <w:keepLines/>
        <w:widowControl w:val="0"/>
        <w:shd w:val="clear" w:color="auto" w:fill="auto"/>
        <w:bidi w:val="0"/>
        <w:spacing w:before="0" w:after="0" w:line="276" w:lineRule="auto"/>
        <w:ind w:left="4580" w:right="0" w:firstLine="0"/>
        <w:jc w:val="both"/>
      </w:pPr>
      <w:bookmarkStart w:id="8" w:name="bookmark8"/>
      <w:r>
        <w:rPr>
          <w:color w:val="000000"/>
          <w:spacing w:val="0"/>
          <w:w w:val="100"/>
          <w:position w:val="0"/>
          <w:sz w:val="24"/>
          <w:szCs w:val="24"/>
          <w:shd w:val="clear" w:color="auto" w:fill="auto"/>
          <w:lang w:val="ru-RU" w:eastAsia="ru-RU" w:bidi="ru-RU"/>
        </w:rPr>
        <w:t>УСТАНОВИЛА:</w:t>
      </w:r>
      <w:bookmarkEnd w:id="8"/>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Заказчика.</w:t>
      </w:r>
    </w:p>
    <w:p>
      <w:pPr>
        <w:pStyle w:val="Style13"/>
        <w:keepNext w:val="0"/>
        <w:keepLines w:val="0"/>
        <w:widowControl w:val="0"/>
        <w:shd w:val="clear" w:color="auto" w:fill="auto"/>
        <w:bidi w:val="0"/>
        <w:spacing w:before="0" w:after="0"/>
        <w:ind w:left="0" w:right="0" w:firstLine="740"/>
        <w:jc w:val="both"/>
      </w:pPr>
      <w:r>
        <w:rPr>
          <w:b/>
          <w:bCs/>
          <w:color w:val="000000"/>
          <w:spacing w:val="0"/>
          <w:w w:val="100"/>
          <w:position w:val="0"/>
          <w:sz w:val="24"/>
          <w:szCs w:val="24"/>
          <w:shd w:val="clear" w:color="auto" w:fill="auto"/>
          <w:lang w:val="ru-RU" w:eastAsia="ru-RU" w:bidi="ru-RU"/>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извещению № 0356300180424000032 Заказчиком проводился открытый конкурс в электронной форме на выполнение работ по текущему ремонту основного ограждения здания КГБОУСУВУ «Уральское подворье» по адресу: г. Пермь, ул. Космонавта Беляева, 22а.</w:t>
      </w:r>
    </w:p>
    <w:p>
      <w:pPr>
        <w:pStyle w:val="Style13"/>
        <w:keepNext w:val="0"/>
        <w:keepLines w:val="0"/>
        <w:widowControl w:val="0"/>
        <w:shd w:val="clear" w:color="auto" w:fill="auto"/>
        <w:bidi w:val="0"/>
        <w:spacing w:before="0" w:after="240"/>
        <w:ind w:left="0" w:right="0" w:firstLine="740"/>
        <w:jc w:val="both"/>
      </w:pPr>
      <w:r>
        <w:rPr>
          <w:color w:val="000000"/>
          <w:spacing w:val="0"/>
          <w:w w:val="100"/>
          <w:position w:val="0"/>
          <w:sz w:val="24"/>
          <w:szCs w:val="24"/>
          <w:shd w:val="clear" w:color="auto" w:fill="auto"/>
          <w:lang w:val="ru-RU" w:eastAsia="ru-RU" w:bidi="ru-RU"/>
        </w:rPr>
        <w:t>В соответствии с извещением о проведении открытого конкурса в электронной форме:</w:t>
      </w:r>
    </w:p>
    <w:p>
      <w:pPr>
        <w:pStyle w:val="Style22"/>
        <w:keepNext/>
        <w:keepLines/>
        <w:widowControl w:val="0"/>
        <w:shd w:val="clear" w:color="auto" w:fill="auto"/>
        <w:bidi w:val="0"/>
        <w:spacing w:before="0" w:line="240" w:lineRule="auto"/>
        <w:ind w:left="0" w:right="0" w:firstLine="0"/>
        <w:jc w:val="both"/>
      </w:pPr>
      <w:bookmarkStart w:id="10" w:name="bookmark10"/>
      <w:r>
        <w:rPr>
          <w:color w:val="000000"/>
          <w:spacing w:val="0"/>
          <w:w w:val="100"/>
          <w:position w:val="0"/>
          <w:shd w:val="clear" w:color="auto" w:fill="auto"/>
          <w:lang w:val="ru-RU" w:eastAsia="ru-RU" w:bidi="ru-RU"/>
        </w:rPr>
        <w:t>111111111111111111111111</w:t>
      </w:r>
      <w:bookmarkEnd w:id="10"/>
    </w:p>
    <w:p>
      <w:pPr>
        <w:pStyle w:val="Style13"/>
        <w:keepNext w:val="0"/>
        <w:keepLines w:val="0"/>
        <w:widowControl w:val="0"/>
        <w:numPr>
          <w:ilvl w:val="0"/>
          <w:numId w:val="3"/>
        </w:numPr>
        <w:shd w:val="clear" w:color="auto" w:fill="auto"/>
        <w:tabs>
          <w:tab w:pos="102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извещение о проведении открытого конкурса в электронной форме размещено в единой информационной системе в сфере закупок \\л\л\-.хакирк1.до\'.ги (далее - ЕИС) - 26.07.2024 г.</w:t>
      </w:r>
    </w:p>
    <w:p>
      <w:pPr>
        <w:pStyle w:val="Style13"/>
        <w:keepNext w:val="0"/>
        <w:keepLines w:val="0"/>
        <w:widowControl w:val="0"/>
        <w:numPr>
          <w:ilvl w:val="0"/>
          <w:numId w:val="3"/>
        </w:numPr>
        <w:shd w:val="clear" w:color="auto" w:fill="auto"/>
        <w:tabs>
          <w:tab w:pos="170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способ определения поставщика (подрядчика, исполнителя) - Конкурс;</w:t>
      </w:r>
    </w:p>
    <w:p>
      <w:pPr>
        <w:pStyle w:val="Style13"/>
        <w:keepNext w:val="0"/>
        <w:keepLines w:val="0"/>
        <w:widowControl w:val="0"/>
        <w:numPr>
          <w:ilvl w:val="0"/>
          <w:numId w:val="3"/>
        </w:numPr>
        <w:shd w:val="clear" w:color="auto" w:fill="auto"/>
        <w:tabs>
          <w:tab w:pos="170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- 2 563 053,10 руб.;</w:t>
      </w:r>
    </w:p>
    <w:p>
      <w:pPr>
        <w:pStyle w:val="Style13"/>
        <w:keepNext w:val="0"/>
        <w:keepLines w:val="0"/>
        <w:widowControl w:val="0"/>
        <w:numPr>
          <w:ilvl w:val="0"/>
          <w:numId w:val="3"/>
        </w:numPr>
        <w:shd w:val="clear" w:color="auto" w:fill="auto"/>
        <w:tabs>
          <w:tab w:pos="170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дата окончания подачи заявок - 23.08.2024 г.</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Заявитель полагает, что Заказчиком в нарушение требований Закона о закупках установлены дополнительные требования к участникам закупки, предусмотренные п. 15 раздела 2 приложения к Постановления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ПП РФ № 2571), поскольку работы предусмотренные контрактом являются работами по благоустройству территории.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В письменных пояснениях, а также в ходе заседания Комиссии, представитель Заказчика указал, что границы образовательного учреждения определяются на основании кадастрового плана, в соответствии с которым местом оказания образовательных услуг является не только здание образовательной организации, но и прилегающая территория, которая находится в границах земельного участка, границы которого обозначены ограждением, которое является неотъемлемой частью территории образовательного учреждения. Основанием проведения работ по текущему ремонту ограждения является акт противокриминальной защищенности и инженерно-технической укрепленности образовательной организации, составленный управлением МВД России по г. Перми, согласно которому Заказчику выданы замечания в части необходимости проведения работ по замене ограждения по периметру учебного корпуса. Настоящие требования обоснованы Постановлением Правительства РФ от 02.08.2019 № 1006 (ред. от 05.03.2022)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 Согласно приложению 7 «Перечень основных работ по текущему ремонту зданий и объектов» к Приказу Госкомархитектуры от 23.11.1988 № 312 «Об утверждении ведомственных строительных норм Госкомархитектуры «Положение об организации и проведении реконструкции, ремонта и технического обслуживания жилых зданий, объектов коммунального и социально-культурного назначения» (вместе с «ВСН 58-88 (р). Ведомственные строительные нормы. Положение об организации и проведении реконструкции, ремонта и технического обслуживания зданий, объектов коммунального и социально-культурного назначения»), среди перечня работ по текущему ремонту присутствуют работы по Ремонту, укрепление, замена отдельных участков ограждений и оборудования детских игровых, спортивных и хозяйственных площадок, дворовых уборных, мусорных ящиков, площадок и навесов для контейнеров- мусоросборников и т.д., что согласно ВСН 58-88 (р) являются работами по текущему ремонту. В соответствии с позицией 15 раздела II приложения к Ш1 РФ от 29.12.2021 № 2571, установлены требования к участникам закупки при проведении работ по текущему ремонту зданий, сооружений. В связи с тем, что объектом закупки являются работы по текущему ремонту основного ограждения здания КГБОУСУВУ «Уральское подворье» по адресу: г. 1ермь, ул. Космонавта Беляева, 22а, которое является неотъемлемой частью территории образовательной организации, согласно кадастровому плану, а так же карточке объекта основных средств, а так же в связи с тем, что такие работы содержатся в перечне работ по текущему ремонту, согласно 1риложения 7 ВСН 58-88 (р), считаем установление требований в соответствии с позицией 15 </w:t>
      </w:r>
      <w:r>
        <w:rPr>
          <w:color w:val="000000"/>
          <w:spacing w:val="0"/>
          <w:w w:val="100"/>
          <w:position w:val="0"/>
          <w:sz w:val="24"/>
          <w:szCs w:val="24"/>
          <w:shd w:val="clear" w:color="auto" w:fill="auto"/>
          <w:lang w:val="ru-RU" w:eastAsia="ru-RU" w:bidi="ru-RU"/>
        </w:rPr>
        <w:t>раздела II приложения к Ш1 РФ от 29.12.2021 № 2571 не противоречащими действующему законодательству, а так же обоснованно установленными Заказчиком в оспариваемом извещении.</w:t>
      </w:r>
    </w:p>
    <w:p>
      <w:pPr>
        <w:pStyle w:val="Style13"/>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1еречисленные в доводах жалобы нормативные акты определяют лишь правила благоустройства, а также отдельные элементы благоустройства, которые могут существовать как самостоятельные единицы. Равно так же, объект закупки как «работы по текущему ремонту ограждения» не соответствует определению «благоустройства территории", на которое ссылается Заявитель согласно п. 3.2 С1 82.13330.2016. Свод правил. Благоустройство территории, в соответствии с положениями которого благоустройство территории - это комплекс мероприятий по инженерной подготовке к озеленению, устройству покрытий, освещению, размещению малых архитектурных форм и объектов монументального искусства, направленных на улучшение функционального, санитарного, экологического и эстетического состояния участка, поскольку в дефектной ведомости, которая так же размещена в составе сметной документации на выполнение работ по текущему ремонту ограждения, не содержится видов работ, указанных в настоящем определении.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 1 ч. 2 ст. 42 Закона о закупках извещение об осуществлении закупки, если иное не предусмотрено Закона о закупках, должно содержать описание объекта закупки в соответствии со ст. 33 Закона о закупках.</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силу с п. 1, 2 ч. 1 ст. 33 Закона о закупках заказчик при описании в документации о закупке объекта закупки должен руководствоваться следующими правилами:</w:t>
      </w:r>
    </w:p>
    <w:p>
      <w:pPr>
        <w:pStyle w:val="Style13"/>
        <w:keepNext w:val="0"/>
        <w:keepLines w:val="0"/>
        <w:widowControl w:val="0"/>
        <w:numPr>
          <w:ilvl w:val="0"/>
          <w:numId w:val="5"/>
        </w:numPr>
        <w:shd w:val="clear" w:color="auto" w:fill="auto"/>
        <w:tabs>
          <w:tab w:pos="103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3"/>
        <w:keepNext w:val="0"/>
        <w:keepLines w:val="0"/>
        <w:widowControl w:val="0"/>
        <w:numPr>
          <w:ilvl w:val="0"/>
          <w:numId w:val="7"/>
        </w:numPr>
        <w:shd w:val="clear" w:color="auto" w:fill="auto"/>
        <w:tabs>
          <w:tab w:pos="102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13"/>
        <w:keepNext w:val="0"/>
        <w:keepLines w:val="0"/>
        <w:widowControl w:val="0"/>
        <w:numPr>
          <w:ilvl w:val="0"/>
          <w:numId w:val="7"/>
        </w:numPr>
        <w:shd w:val="clear" w:color="auto" w:fill="auto"/>
        <w:tabs>
          <w:tab w:pos="104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3"/>
        <w:keepNext w:val="0"/>
        <w:keepLines w:val="0"/>
        <w:widowControl w:val="0"/>
        <w:numPr>
          <w:ilvl w:val="0"/>
          <w:numId w:val="7"/>
        </w:numPr>
        <w:shd w:val="clear" w:color="auto" w:fill="auto"/>
        <w:tabs>
          <w:tab w:pos="103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numPr>
          <w:ilvl w:val="0"/>
          <w:numId w:val="7"/>
        </w:numPr>
        <w:shd w:val="clear" w:color="auto" w:fill="auto"/>
        <w:tabs>
          <w:tab w:pos="101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1еречень указанных медицинских изделий, специализированных продуктов лечебного питания и порядок его формирования утверждаются 1равительством Российской Федерации.</w:t>
      </w:r>
    </w:p>
    <w:p>
      <w:pPr>
        <w:pStyle w:val="Style13"/>
        <w:keepNext w:val="0"/>
        <w:keepLines w:val="0"/>
        <w:widowControl w:val="0"/>
        <w:numPr>
          <w:ilvl w:val="0"/>
          <w:numId w:val="5"/>
        </w:numPr>
        <w:shd w:val="clear" w:color="auto" w:fill="auto"/>
        <w:tabs>
          <w:tab w:pos="103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w:t>
      </w:r>
      <w:r>
        <w:rPr>
          <w:color w:val="000000"/>
          <w:spacing w:val="0"/>
          <w:w w:val="100"/>
          <w:position w:val="0"/>
          <w:sz w:val="24"/>
          <w:szCs w:val="24"/>
          <w:shd w:val="clear" w:color="auto" w:fill="auto"/>
          <w:lang w:val="ru-RU" w:eastAsia="ru-RU" w:bidi="ru-RU"/>
        </w:rPr>
        <w:t>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2 ч. 1 ст.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12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 1 ч. 1 ст. 31 Закона о закупках, требования, предъявляемые к участникам закупки в соответствии с ч. 2 и 2.1 (при наличии таких требований) ст. 31 Закона о закупках,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 1.1 ст. 31 Закона о закупках (при наличии такого требования).</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силу ч. 2 ст. 31 Закона о закупках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3"/>
        <w:keepNext w:val="0"/>
        <w:keepLines w:val="0"/>
        <w:widowControl w:val="0"/>
        <w:numPr>
          <w:ilvl w:val="0"/>
          <w:numId w:val="9"/>
        </w:numPr>
        <w:shd w:val="clear" w:color="auto" w:fill="auto"/>
        <w:tabs>
          <w:tab w:pos="102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финансовых ресурсов для исполнения контракта;</w:t>
      </w:r>
    </w:p>
    <w:p>
      <w:pPr>
        <w:pStyle w:val="Style13"/>
        <w:keepNext w:val="0"/>
        <w:keepLines w:val="0"/>
        <w:widowControl w:val="0"/>
        <w:numPr>
          <w:ilvl w:val="0"/>
          <w:numId w:val="9"/>
        </w:numPr>
        <w:shd w:val="clear" w:color="auto" w:fill="auto"/>
        <w:tabs>
          <w:tab w:pos="103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3"/>
        <w:keepNext w:val="0"/>
        <w:keepLines w:val="0"/>
        <w:widowControl w:val="0"/>
        <w:numPr>
          <w:ilvl w:val="0"/>
          <w:numId w:val="9"/>
        </w:numPr>
        <w:shd w:val="clear" w:color="auto" w:fill="auto"/>
        <w:tabs>
          <w:tab w:pos="103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опыта работы, связанного с предметом контракта, и деловой репутации;</w:t>
      </w:r>
    </w:p>
    <w:p>
      <w:pPr>
        <w:pStyle w:val="Style13"/>
        <w:keepNext w:val="0"/>
        <w:keepLines w:val="0"/>
        <w:widowControl w:val="0"/>
        <w:numPr>
          <w:ilvl w:val="0"/>
          <w:numId w:val="9"/>
        </w:numPr>
        <w:shd w:val="clear" w:color="auto" w:fill="auto"/>
        <w:tabs>
          <w:tab w:pos="104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силу ч. 3 ст. 31 Закона о закупках перечень информации и документов, которые подтверждают соответствие участников закупок дополнительным требованиям, указанным в ч. 2 и 2.1 ст. 31 Закона о закупках, устанавливается Правительством Российской Федерации.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ч. 4 ст. 31 Закона о закупках в случае установления Правительством Российской Федерации в соответствии с ч. 2 ст. 31 Закона о закупках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ч. 6 ст. 31 Закона о закупках Заказчики не вправе устанавливать требования к участникам закупок в нарушение требований Закона о закупках.</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ч. 12 ст. 24.2 Закона о закупках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 2 и 2.1 ст. 31 Закона о закупках,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в соответствии с ч. 3 ст. 31 Закона о закупках.</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силу пп. «а» п. 1 Постановления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Подпунктом «а» п. 3 ПП РФ № 2571 установлено, что положения ПП РФ № 2571 применяются при проведении конкурентных способов определения поставщиков (подрядчиков, исполнителей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 Позиции 14, 15 и 36 приложения применяются в случае, если при осуществлении закупки начальная (максимальная) цена контракта превышает 1 млн. рублей.</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Подпунктом «б» п. 3 ПП РФ № 2571 установлено, что для целей настоящего постановления договором, предусмотренным пунктом 1 позиции 2, пунктом 1 позиции 9, пунктом 1 позиции 10, пунктом 1 позиции 11, пунктом 1 позиции 12, позицией 14, пунктами 1 и 2 позиции 15, пунктом 2 позиции 17, пунктами 1 и 2 позиции 18, позициями 32 - 36, пунктом 1 позиции 37, пунктом 1 позиции 39, позициями 40 и 41 приложения в графе «Дополнительные требования к участникам закупки», считается контракт, заключенный и исполненный в соответствии с Законом о закупках, либо договор, заключенный и исполненный в соответствии с Федеральным законом «О закупках товаров, работ, услуг отдельными видами юридических лиц».</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9 раздела 2 приложения к ПП РФ № 2571 при выполнении работ по строительству некапитального строения, сооружения (строений, сооружений), благоустройству территории: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наличие у участника закупки следующего опыта выполнения работ:</w:t>
      </w:r>
    </w:p>
    <w:p>
      <w:pPr>
        <w:pStyle w:val="Style13"/>
        <w:keepNext w:val="0"/>
        <w:keepLines w:val="0"/>
        <w:widowControl w:val="0"/>
        <w:numPr>
          <w:ilvl w:val="0"/>
          <w:numId w:val="11"/>
        </w:numPr>
        <w:shd w:val="clear" w:color="auto" w:fill="auto"/>
        <w:tabs>
          <w:tab w:pos="32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опыт исполнения договора, предусматривающего выполнение работ по строительству </w:t>
      </w:r>
      <w:r>
        <w:rPr>
          <w:color w:val="000000"/>
          <w:spacing w:val="0"/>
          <w:w w:val="100"/>
          <w:position w:val="0"/>
          <w:sz w:val="24"/>
          <w:szCs w:val="24"/>
          <w:shd w:val="clear" w:color="auto" w:fill="auto"/>
          <w:lang w:val="ru-RU" w:eastAsia="ru-RU" w:bidi="ru-RU"/>
        </w:rPr>
        <w:t>некапитального строения, сооружения (строений, сооружений), благоустройству территории;</w:t>
      </w:r>
    </w:p>
    <w:p>
      <w:pPr>
        <w:pStyle w:val="Style13"/>
        <w:keepNext w:val="0"/>
        <w:keepLines w:val="0"/>
        <w:widowControl w:val="0"/>
        <w:numPr>
          <w:ilvl w:val="0"/>
          <w:numId w:val="11"/>
        </w:numPr>
        <w:shd w:val="clear" w:color="auto" w:fill="auto"/>
        <w:tabs>
          <w:tab w:pos="110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w:t>
      </w:r>
    </w:p>
    <w:p>
      <w:pPr>
        <w:pStyle w:val="Style13"/>
        <w:keepNext w:val="0"/>
        <w:keepLines w:val="0"/>
        <w:widowControl w:val="0"/>
        <w:numPr>
          <w:ilvl w:val="0"/>
          <w:numId w:val="11"/>
        </w:numPr>
        <w:shd w:val="clear" w:color="auto" w:fill="auto"/>
        <w:tabs>
          <w:tab w:pos="109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качестве документов, подтверждающих наличие у участника соответствующего опыта, в п. 9 раздела 2 приложения к ПП РФ № 2571 установлено следующее: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в случае наличия опыта, предусмотренного пунктом 1 графы «Дополнительные требования к участникам закупки» настоящей позиции: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исполненный договор;</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 акт выполненных работ, подтверждающий цену выполненных работ.</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в случае наличия опыта, предусмотренного пунктом 2 графы «Дополнительные требования к участникам закупки» настоящей позиции:</w:t>
      </w:r>
    </w:p>
    <w:p>
      <w:pPr>
        <w:pStyle w:val="Style13"/>
        <w:keepNext w:val="0"/>
        <w:keepLines w:val="0"/>
        <w:widowControl w:val="0"/>
        <w:numPr>
          <w:ilvl w:val="0"/>
          <w:numId w:val="13"/>
        </w:numPr>
        <w:shd w:val="clear" w:color="auto" w:fill="auto"/>
        <w:tabs>
          <w:tab w:pos="108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исполненный договор;</w:t>
      </w:r>
    </w:p>
    <w:p>
      <w:pPr>
        <w:pStyle w:val="Style13"/>
        <w:keepNext w:val="0"/>
        <w:keepLines w:val="0"/>
        <w:widowControl w:val="0"/>
        <w:numPr>
          <w:ilvl w:val="0"/>
          <w:numId w:val="13"/>
        </w:numPr>
        <w:shd w:val="clear" w:color="auto" w:fill="auto"/>
        <w:tabs>
          <w:tab w:pos="109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pPr>
        <w:pStyle w:val="Style13"/>
        <w:keepNext w:val="0"/>
        <w:keepLines w:val="0"/>
        <w:widowControl w:val="0"/>
        <w:numPr>
          <w:ilvl w:val="0"/>
          <w:numId w:val="13"/>
        </w:numPr>
        <w:shd w:val="clear" w:color="auto" w:fill="auto"/>
        <w:tabs>
          <w:tab w:pos="109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в случае наличия опыта, предусмотренного пунктом 3 графы «Дополнительные требования к участникам закупки» настоящей позиции: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раздел 11 «Смета на строительство объектов капитального строительства» проектной документации;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15 раздела 2 приложения к ПП РФ № 2571 при выполнении работ по текущему ремонту зданий, сооружений к участникам закупки устанавливается дополнительное требование: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наличие у участника закупки следующего опыта выполнения работ:</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опыт исполнения договора, предусматривающего выполнение работ по текущему ремонту зданий, сооружений;</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 опыт исполнения договора, предусматривающего выполнение работ по капитальному ремонту объекта капитального строительства.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Цена выполненных работ по договору, предусмотренному пунктом 1 или 2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В качестве документов, подтверждающих наличие у участника соответствующего опыта, в </w:t>
      </w:r>
      <w:r>
        <w:rPr>
          <w:color w:val="000000"/>
          <w:spacing w:val="0"/>
          <w:w w:val="100"/>
          <w:position w:val="0"/>
          <w:sz w:val="24"/>
          <w:szCs w:val="24"/>
          <w:shd w:val="clear" w:color="auto" w:fill="auto"/>
          <w:lang w:val="ru-RU" w:eastAsia="ru-RU" w:bidi="ru-RU"/>
        </w:rPr>
        <w:t>п. 15 раздела 2 приложения к ПП РФ № 2571 установлено следующее: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исполненный договор;</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 акт выполненных работ, подтверждающий цену выполненных работ.</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о проведении закупки № 0356300180424000032 объектом закупки является выполнение работ по текущему ремонту основного ограждения здания КГБОУСУВУ «Уральское подворье» по адресу: г. Пермь, ул. Космонавта Беляева, 22а. Описание выполняемых работ указано в приложении к извещению «Техническое задание», «Сметная документация».</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 согласно ведомости объемов работ подрядчику надлежит выполнить такие работы как:</w:t>
      </w:r>
    </w:p>
    <w:p>
      <w:pPr>
        <w:pStyle w:val="Style13"/>
        <w:keepNext w:val="0"/>
        <w:keepLines w:val="0"/>
        <w:widowControl w:val="0"/>
        <w:numPr>
          <w:ilvl w:val="0"/>
          <w:numId w:val="15"/>
        </w:numPr>
        <w:shd w:val="clear" w:color="auto" w:fill="auto"/>
        <w:tabs>
          <w:tab w:pos="94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демонтаж металлических ограждений высотой до 1 м.;</w:t>
      </w:r>
    </w:p>
    <w:p>
      <w:pPr>
        <w:pStyle w:val="Style13"/>
        <w:keepNext w:val="0"/>
        <w:keepLines w:val="0"/>
        <w:widowControl w:val="0"/>
        <w:numPr>
          <w:ilvl w:val="0"/>
          <w:numId w:val="15"/>
        </w:numPr>
        <w:shd w:val="clear" w:color="auto" w:fill="auto"/>
        <w:tabs>
          <w:tab w:pos="94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планировка откосов выемок и насыпей экскаваторами;</w:t>
      </w:r>
    </w:p>
    <w:p>
      <w:pPr>
        <w:pStyle w:val="Style13"/>
        <w:keepNext w:val="0"/>
        <w:keepLines w:val="0"/>
        <w:widowControl w:val="0"/>
        <w:numPr>
          <w:ilvl w:val="0"/>
          <w:numId w:val="15"/>
        </w:numPr>
        <w:shd w:val="clear" w:color="auto" w:fill="auto"/>
        <w:tabs>
          <w:tab w:pos="94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устройство основания под фундаменты;</w:t>
      </w:r>
    </w:p>
    <w:p>
      <w:pPr>
        <w:pStyle w:val="Style13"/>
        <w:keepNext w:val="0"/>
        <w:keepLines w:val="0"/>
        <w:widowControl w:val="0"/>
        <w:numPr>
          <w:ilvl w:val="0"/>
          <w:numId w:val="15"/>
        </w:numPr>
        <w:shd w:val="clear" w:color="auto" w:fill="auto"/>
        <w:tabs>
          <w:tab w:pos="94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устройство бетонной подготовки;</w:t>
      </w:r>
    </w:p>
    <w:p>
      <w:pPr>
        <w:pStyle w:val="Style13"/>
        <w:keepNext w:val="0"/>
        <w:keepLines w:val="0"/>
        <w:widowControl w:val="0"/>
        <w:numPr>
          <w:ilvl w:val="0"/>
          <w:numId w:val="15"/>
        </w:numPr>
        <w:shd w:val="clear" w:color="auto" w:fill="auto"/>
        <w:tabs>
          <w:tab w:pos="94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установка металлических столбов высотой до 4 м с погружением в бетонное основание.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10, 10.2, 36, 38 ст. 1 Градостроительного кодекса Российской Федерации (далее - ГрК РФ) объектом капитального строительства является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Под некапитальными строениями, сооружениями понимаются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Под благоустройством территории понимается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Под элементами благоустройства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pPr>
        <w:pStyle w:val="Style13"/>
        <w:keepNext w:val="0"/>
        <w:keepLines w:val="0"/>
        <w:widowControl w:val="0"/>
        <w:shd w:val="clear" w:color="auto" w:fill="auto"/>
        <w:bidi w:val="0"/>
        <w:spacing w:before="0" w:after="60"/>
        <w:ind w:left="0" w:right="0" w:firstLine="720"/>
        <w:jc w:val="both"/>
      </w:pPr>
      <w:r>
        <w:rPr>
          <w:color w:val="000000"/>
          <w:spacing w:val="0"/>
          <w:w w:val="100"/>
          <w:position w:val="0"/>
          <w:sz w:val="24"/>
          <w:szCs w:val="24"/>
          <w:shd w:val="clear" w:color="auto" w:fill="auto"/>
          <w:lang w:val="ru-RU" w:eastAsia="ru-RU" w:bidi="ru-RU"/>
        </w:rPr>
        <w:t>Абзацем 7 п. 1.5. приказа Минстроя России от 29.12.2021 г. № 1042/пр «Об утверждении методических рекомендаций по разработке норм и правил по благоустройству территорий муниципальных образований» установлено, что в соответствии с п. 38 ст. 1 ГрК РФ к элементам благоустройства относятся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(далее - МАФ), некапитальные нестационарные строения и сооружения, информационные щиты и указатели, применяемые как составные части благоустройства территории. В правилах благоустройства территорий муниципальных образований к элементам благоустройства могут быть также</w:t>
        <w:br w:type="page"/>
      </w:r>
      <w:r>
        <w:rPr>
          <w:color w:val="000000"/>
          <w:spacing w:val="0"/>
          <w:w w:val="100"/>
          <w:position w:val="0"/>
          <w:sz w:val="24"/>
          <w:szCs w:val="24"/>
          <w:shd w:val="clear" w:color="auto" w:fill="auto"/>
          <w:lang w:val="ru-RU" w:eastAsia="ru-RU" w:bidi="ru-RU"/>
        </w:rPr>
        <w:t>отнесены, например:</w:t>
      </w:r>
    </w:p>
    <w:p>
      <w:pPr>
        <w:pStyle w:val="Style13"/>
        <w:keepNext w:val="0"/>
        <w:keepLines w:val="0"/>
        <w:widowControl w:val="0"/>
        <w:numPr>
          <w:ilvl w:val="0"/>
          <w:numId w:val="15"/>
        </w:numPr>
        <w:shd w:val="clear" w:color="auto" w:fill="auto"/>
        <w:tabs>
          <w:tab w:pos="946" w:val="left"/>
        </w:tabs>
        <w:bidi w:val="0"/>
        <w:spacing w:before="0" w:after="0"/>
        <w:ind w:left="0" w:right="0" w:firstLine="720"/>
        <w:jc w:val="left"/>
      </w:pPr>
      <w:r>
        <w:rPr>
          <w:color w:val="000000"/>
          <w:spacing w:val="0"/>
          <w:w w:val="100"/>
          <w:position w:val="0"/>
          <w:sz w:val="24"/>
          <w:szCs w:val="24"/>
          <w:shd w:val="clear" w:color="auto" w:fill="auto"/>
          <w:lang w:val="ru-RU" w:eastAsia="ru-RU" w:bidi="ru-RU"/>
        </w:rPr>
        <w:t>ограждения, ограждающие устройства, ограждающие элементы, придорожные экраны.</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ч. 1 ст. 130 ГК РФ,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 недвижимым вещам относятся жилые и нежилые помещения, а также предназначенные для размещения транспортных средств части зданий или сооружений (машино-места), если границы таких помещений, частей зданий или сооружений описаны в установленном законодательством о государственном кадастровом учете порядке.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отмечает, что исходя из необходимых к производству работ, в том числе указанных в ведомости объемов работ, такие работы как, устройство основания под фундаменты, установка металлических столбов высотой до 4 м с погружением в бетонное основание, подтверждают прочную связь объекта - ограждения с землей, а, следовательно, позволяет сделать вывод о том, что работы, являющиеся объектом закупки, относятся к работам в отношении сооружения.</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Следовательно, поскольку объектом производства работ является сооружения в отношении которого необходимо выполнить работы по текущему ремонту Заказчиком правомерно установлены дополнительные требования к участникам согласно п. 15 раздела 2 приложения к ПП РФ № 2571. Довод признан необоснованным.</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13"/>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Признать жалобу ООО «Брокер Групп» на действия КГБОУ «Специальное учебно</w:t>
        <w:softHyphen/>
        <w:t>воспитательное учреждение «Уральское Подворье»» при проведении открытого конкурса в электронной форме на выполнение работ по текущему ремонту основного ограждения здания КГБОУСУВУ «Уральское подворье» по адресу: г. Пермь, ул. Космонавта Беляева, 22а (изв.№ 0356300180424000032) необоснованной.</w:t>
      </w:r>
    </w:p>
    <w:p>
      <w:pPr>
        <w:pStyle w:val="Style13"/>
        <w:keepNext w:val="0"/>
        <w:keepLines w:val="0"/>
        <w:widowControl w:val="0"/>
        <w:shd w:val="clear" w:color="auto" w:fill="auto"/>
        <w:bidi w:val="0"/>
        <w:spacing w:before="0" w:after="0"/>
        <w:ind w:left="0" w:right="0" w:firstLine="720"/>
        <w:jc w:val="both"/>
      </w:pPr>
      <w:r>
        <w:rPr>
          <w:i/>
          <w:iCs/>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13"/>
        <w:keepNext w:val="0"/>
        <w:keepLines w:val="0"/>
        <w:widowControl w:val="0"/>
        <w:shd w:val="clear" w:color="auto" w:fill="auto"/>
        <w:tabs>
          <w:tab w:pos="6432" w:val="left"/>
        </w:tabs>
        <w:bidi w:val="0"/>
        <w:spacing w:before="0" w:after="640"/>
        <w:ind w:left="0" w:right="0" w:firstLine="0"/>
        <w:jc w:val="left"/>
      </w:pPr>
      <w:r>
        <mc:AlternateContent>
          <mc:Choice Requires="wps">
            <w:drawing>
              <wp:anchor distT="0" distB="0" distL="0" distR="0" simplePos="0" relativeHeight="125829381" behindDoc="0" locked="0" layoutInCell="1" allowOverlap="1">
                <wp:simplePos x="0" y="0"/>
                <wp:positionH relativeFrom="page">
                  <wp:posOffset>3073400</wp:posOffset>
                </wp:positionH>
                <wp:positionV relativeFrom="paragraph">
                  <wp:posOffset>152400</wp:posOffset>
                </wp:positionV>
                <wp:extent cx="1722120" cy="255905"/>
                <wp:wrapSquare wrapText="bothSides"/>
                <wp:docPr id="5" name="Shape 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1" type="#_x0000_t202" style="position:absolute;margin-left:242.pt;margin-top:12.pt;width:135.59999999999999pt;height:20.150000000000002pt;z-index:-125829372;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type="square" anchorx="page"/>
              </v:shape>
            </w:pict>
          </mc:Fallback>
        </mc:AlternateContent>
      </w:r>
      <w:r>
        <mc:AlternateContent>
          <mc:Choice Requires="wps">
            <w:drawing>
              <wp:anchor distT="0" distB="2100580" distL="117475" distR="113665" simplePos="0" relativeHeight="125829383" behindDoc="0" locked="0" layoutInCell="1" allowOverlap="1">
                <wp:simplePos x="0" y="0"/>
                <wp:positionH relativeFrom="page">
                  <wp:posOffset>6100445</wp:posOffset>
                </wp:positionH>
                <wp:positionV relativeFrom="paragraph">
                  <wp:posOffset>203200</wp:posOffset>
                </wp:positionV>
                <wp:extent cx="1088390" cy="222250"/>
                <wp:wrapSquare wrapText="left"/>
                <wp:docPr id="7" name="Shape 7"/>
                <a:graphic xmlns:a="http://schemas.openxmlformats.org/drawingml/2006/main">
                  <a:graphicData uri="http://schemas.microsoft.com/office/word/2010/wordprocessingShape">
                    <wps:wsp>
                      <wps:cNvSpPr txBox="1"/>
                      <wps:spPr>
                        <a:xfrm>
                          <a:ext cx="1088390" cy="2222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txbxContent>
                      </wps:txbx>
                      <wps:bodyPr wrap="none" lIns="0" tIns="0" rIns="0" bIns="0">
                        <a:noAutoFit/>
                      </wps:bodyPr>
                    </wps:wsp>
                  </a:graphicData>
                </a:graphic>
              </wp:anchor>
            </w:drawing>
          </mc:Choice>
          <mc:Fallback>
            <w:pict>
              <v:shape id="_x0000_s1033" type="#_x0000_t202" style="position:absolute;margin-left:480.35000000000002pt;margin-top:16.pt;width:85.700000000000003pt;height:17.5pt;z-index:-125829370;mso-wrap-distance-left:9.25pt;mso-wrap-distance-right:8.9500000000000011pt;mso-wrap-distance-bottom:165.4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txbxContent>
                </v:textbox>
                <w10:wrap type="square" side="left" anchorx="page"/>
              </v:shape>
            </w:pict>
          </mc:Fallback>
        </mc:AlternateContent>
      </w:r>
      <w:r>
        <mc:AlternateContent>
          <mc:Choice Requires="wps">
            <w:drawing>
              <wp:anchor distT="978535" distB="1122045" distL="376555" distR="116840" simplePos="0" relativeHeight="125829385" behindDoc="0" locked="0" layoutInCell="1" allowOverlap="1">
                <wp:simplePos x="0" y="0"/>
                <wp:positionH relativeFrom="page">
                  <wp:posOffset>6359525</wp:posOffset>
                </wp:positionH>
                <wp:positionV relativeFrom="paragraph">
                  <wp:posOffset>1181735</wp:posOffset>
                </wp:positionV>
                <wp:extent cx="826135" cy="222250"/>
                <wp:wrapSquare wrapText="left"/>
                <wp:docPr id="9" name="Shape 9"/>
                <a:graphic xmlns:a="http://schemas.openxmlformats.org/drawingml/2006/main">
                  <a:graphicData uri="http://schemas.microsoft.com/office/word/2010/wordprocessingShape">
                    <wps:wsp>
                      <wps:cNvSpPr txBox="1"/>
                      <wps:spPr>
                        <a:xfrm>
                          <a:ext cx="826135" cy="2222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М.Е. Качин</w:t>
                            </w:r>
                          </w:p>
                        </w:txbxContent>
                      </wps:txbx>
                      <wps:bodyPr wrap="none" lIns="0" tIns="0" rIns="0" bIns="0">
                        <a:noAutoFit/>
                      </wps:bodyPr>
                    </wps:wsp>
                  </a:graphicData>
                </a:graphic>
              </wp:anchor>
            </w:drawing>
          </mc:Choice>
          <mc:Fallback>
            <w:pict>
              <v:shape id="_x0000_s1035" type="#_x0000_t202" style="position:absolute;margin-left:500.75pt;margin-top:93.049999999999997pt;width:65.049999999999997pt;height:17.5pt;z-index:-125829368;mso-wrap-distance-left:29.650000000000002pt;mso-wrap-distance-top:77.049999999999997pt;mso-wrap-distance-right:9.2000000000000011pt;mso-wrap-distance-bottom:88.35000000000000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М.Е. Качин</w:t>
                      </w:r>
                    </w:p>
                  </w:txbxContent>
                </v:textbox>
                <w10:wrap type="square" side="left" anchorx="page"/>
              </v:shape>
            </w:pict>
          </mc:Fallback>
        </mc:AlternateContent>
      </w:r>
      <w:r>
        <mc:AlternateContent>
          <mc:Choice Requires="wps">
            <w:drawing>
              <wp:anchor distT="2099945" distB="635" distL="114300" distR="116840" simplePos="0" relativeHeight="125829387" behindDoc="0" locked="0" layoutInCell="1" allowOverlap="1">
                <wp:simplePos x="0" y="0"/>
                <wp:positionH relativeFrom="page">
                  <wp:posOffset>6097270</wp:posOffset>
                </wp:positionH>
                <wp:positionV relativeFrom="paragraph">
                  <wp:posOffset>2303145</wp:posOffset>
                </wp:positionV>
                <wp:extent cx="1088390" cy="222250"/>
                <wp:wrapSquare wrapText="left"/>
                <wp:docPr id="11" name="Shape 11"/>
                <a:graphic xmlns:a="http://schemas.openxmlformats.org/drawingml/2006/main">
                  <a:graphicData uri="http://schemas.microsoft.com/office/word/2010/wordprocessingShape">
                    <wps:wsp>
                      <wps:cNvSpPr txBox="1"/>
                      <wps:spPr>
                        <a:xfrm>
                          <a:ext cx="1088390" cy="2222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z w:val="24"/>
                                <w:szCs w:val="24"/>
                                <w:shd w:val="clear" w:color="auto" w:fill="auto"/>
                                <w:lang w:val="ru-RU" w:eastAsia="ru-RU" w:bidi="ru-RU"/>
                              </w:rPr>
                              <w:t>М.А. Журавлев</w:t>
                            </w:r>
                          </w:p>
                        </w:txbxContent>
                      </wps:txbx>
                      <wps:bodyPr wrap="none" lIns="0" tIns="0" rIns="0" bIns="0">
                        <a:noAutoFit/>
                      </wps:bodyPr>
                    </wps:wsp>
                  </a:graphicData>
                </a:graphic>
              </wp:anchor>
            </w:drawing>
          </mc:Choice>
          <mc:Fallback>
            <w:pict>
              <v:shape id="_x0000_s1037" type="#_x0000_t202" style="position:absolute;margin-left:480.10000000000002pt;margin-top:181.34999999999999pt;width:85.700000000000003pt;height:17.5pt;z-index:-125829366;mso-wrap-distance-left:9.pt;mso-wrap-distance-top:165.34999999999999pt;mso-wrap-distance-right:9.2000000000000011pt;mso-wrap-distance-bottom:5.0000000000000003e-00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z w:val="24"/>
                          <w:szCs w:val="24"/>
                          <w:shd w:val="clear" w:color="auto" w:fill="auto"/>
                          <w:lang w:val="ru-RU" w:eastAsia="ru-RU" w:bidi="ru-RU"/>
                        </w:rPr>
                        <w:t>М.А. Журавлев</w:t>
                      </w:r>
                    </w:p>
                  </w:txbxContent>
                </v:textbox>
                <w10:wrap type="square" side="left" anchorx="page"/>
              </v:shape>
            </w:pict>
          </mc:Fallback>
        </mc:AlternateContent>
      </w:r>
      <w:r>
        <w:rPr>
          <w:b/>
          <w:bCs/>
          <w:color w:val="000000"/>
          <w:spacing w:val="0"/>
          <w:w w:val="100"/>
          <w:position w:val="0"/>
          <w:sz w:val="24"/>
          <w:szCs w:val="24"/>
          <w:shd w:val="clear" w:color="auto" w:fill="auto"/>
          <w:lang w:val="ru-RU" w:eastAsia="ru-RU" w:bidi="ru-RU"/>
        </w:rPr>
        <w:t>Председатель комиссии</w:t>
      </w:r>
      <w:r>
        <w:rPr>
          <w:b/>
          <w:bCs/>
          <w:color w:val="000000"/>
          <w:spacing w:val="0"/>
          <w:w w:val="100"/>
          <w:position w:val="0"/>
          <w:sz w:val="24"/>
          <w:szCs w:val="24"/>
          <w:shd w:val="clear" w:color="auto" w:fill="auto"/>
          <w:lang w:val="ru-RU" w:eastAsia="ru-RU" w:bidi="ru-RU"/>
        </w:rPr>
        <w:tab/>
      </w:r>
      <w:r>
        <w:rPr>
          <w:b/>
          <w:bCs/>
          <w:color w:val="000000"/>
          <w:spacing w:val="0"/>
          <w:w w:val="100"/>
          <w:position w:val="0"/>
          <w:sz w:val="24"/>
          <w:szCs w:val="24"/>
          <w:shd w:val="clear" w:color="auto" w:fill="auto"/>
          <w:lang w:val="ru-RU" w:eastAsia="ru-RU" w:bidi="ru-RU"/>
        </w:rPr>
        <w:t>'</w:t>
      </w:r>
    </w:p>
    <w:p>
      <w:pPr>
        <w:pStyle w:val="Style25"/>
        <w:keepNext w:val="0"/>
        <w:keepLines w:val="0"/>
        <w:widowControl w:val="0"/>
        <w:shd w:val="clear" w:color="auto" w:fill="auto"/>
        <w:bidi w:val="0"/>
        <w:spacing w:before="0" w:after="0" w:line="240" w:lineRule="auto"/>
        <w:ind w:right="0" w:firstLine="0"/>
        <w:jc w:val="both"/>
        <w:rPr>
          <w:sz w:val="11"/>
          <w:szCs w:val="11"/>
        </w:rPr>
      </w:pPr>
      <w:r>
        <w:rPr>
          <w:color w:val="000000"/>
          <w:spacing w:val="0"/>
          <w:w w:val="100"/>
          <w:position w:val="0"/>
          <w:sz w:val="12"/>
          <w:szCs w:val="12"/>
          <w:shd w:val="clear" w:color="auto" w:fill="auto"/>
          <w:lang w:val="ru-RU" w:eastAsia="ru-RU" w:bidi="ru-RU"/>
        </w:rPr>
        <w:t xml:space="preserve">Кому </w:t>
      </w:r>
      <w:r>
        <w:rPr>
          <w:color w:val="696969"/>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Субботина Екатерина Сергеевна</w:t>
      </w:r>
    </w:p>
    <w:p>
      <w:pPr>
        <w:pStyle w:val="Style25"/>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00С0С822В29790В5ВЗЕ4ВЕА073ЕВ878651</w:t>
      </w:r>
    </w:p>
    <w:p>
      <w:pPr>
        <w:pStyle w:val="Style25"/>
        <w:keepNext w:val="0"/>
        <w:keepLines w:val="0"/>
        <w:widowControl w:val="0"/>
        <w:shd w:val="clear" w:color="auto" w:fill="auto"/>
        <w:bidi w:val="0"/>
        <w:spacing w:before="0" w:after="60" w:line="240" w:lineRule="auto"/>
        <w:ind w:right="0" w:firstLine="0"/>
        <w:jc w:val="left"/>
      </w:pPr>
      <w:r>
        <w:rPr>
          <w:color w:val="696969"/>
          <w:spacing w:val="0"/>
          <w:w w:val="100"/>
          <w:position w:val="0"/>
          <w:shd w:val="clear" w:color="auto" w:fill="auto"/>
          <w:lang w:val="ru-RU" w:eastAsia="ru-RU" w:bidi="ru-RU"/>
        </w:rPr>
        <w:t xml:space="preserve">Действителен с 19.02.2024 </w:t>
      </w:r>
      <w:r>
        <w:rPr>
          <w:color w:val="8D8D8D"/>
          <w:spacing w:val="0"/>
          <w:w w:val="100"/>
          <w:position w:val="0"/>
          <w:shd w:val="clear" w:color="auto" w:fill="auto"/>
          <w:lang w:val="ru-RU" w:eastAsia="ru-RU" w:bidi="ru-RU"/>
        </w:rPr>
        <w:t xml:space="preserve">по </w:t>
      </w:r>
      <w:r>
        <w:rPr>
          <w:color w:val="696969"/>
          <w:spacing w:val="0"/>
          <w:w w:val="100"/>
          <w:position w:val="0"/>
          <w:shd w:val="clear" w:color="auto" w:fill="auto"/>
          <w:lang w:val="ru-RU" w:eastAsia="ru-RU" w:bidi="ru-RU"/>
        </w:rPr>
        <w:t>14.05.2025</w:t>
      </w:r>
    </w:p>
    <w:p>
      <w:pPr>
        <w:pStyle w:val="Style13"/>
        <w:keepNext w:val="0"/>
        <w:keepLines w:val="0"/>
        <w:widowControl w:val="0"/>
        <w:shd w:val="clear" w:color="auto" w:fill="auto"/>
        <w:bidi w:val="0"/>
        <w:spacing w:before="0" w:after="340" w:line="240" w:lineRule="auto"/>
        <w:ind w:left="0" w:right="0" w:firstLine="0"/>
        <w:jc w:val="left"/>
      </w:pPr>
      <w:r>
        <w:rPr>
          <w:b/>
          <w:bCs/>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shd w:val="clear" w:color="auto" w:fill="auto"/>
        <w:bidi w:val="0"/>
        <w:spacing w:before="0"/>
        <w:ind w:left="374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Качин Матвей Егорович</w:t>
      </w:r>
    </w:p>
    <w:p>
      <w:pPr>
        <w:pStyle w:val="Style25"/>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79АВ84Е792О7423Е9295С0АОО95ВС7Е7</w:t>
      </w:r>
    </w:p>
    <w:p>
      <w:pPr>
        <w:pStyle w:val="Style25"/>
        <w:keepNext w:val="0"/>
        <w:keepLines w:val="0"/>
        <w:widowControl w:val="0"/>
        <w:shd w:val="clear" w:color="auto" w:fill="auto"/>
        <w:bidi w:val="0"/>
        <w:spacing w:before="0" w:after="580" w:line="240" w:lineRule="auto"/>
        <w:ind w:right="0" w:firstLine="0"/>
        <w:jc w:val="both"/>
      </w:pPr>
      <w:r>
        <w:rPr>
          <w:color w:val="696969"/>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96969"/>
          <w:spacing w:val="0"/>
          <w:w w:val="100"/>
          <w:position w:val="0"/>
          <w:shd w:val="clear" w:color="auto" w:fill="auto"/>
          <w:lang w:val="ru-RU" w:eastAsia="ru-RU" w:bidi="ru-RU"/>
        </w:rPr>
        <w:t xml:space="preserve">09.01.2024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03.04.2025</w:t>
      </w:r>
    </w:p>
    <w:p>
      <w:pPr>
        <w:pStyle w:val="Style10"/>
        <w:keepNext w:val="0"/>
        <w:keepLines w:val="0"/>
        <w:widowControl w:val="0"/>
        <w:shd w:val="clear" w:color="auto" w:fill="auto"/>
        <w:bidi w:val="0"/>
        <w:spacing w:before="0" w:line="214" w:lineRule="auto"/>
        <w:ind w:right="0" w:firstLine="2080"/>
        <w:jc w:val="both"/>
      </w:pPr>
      <w:r>
        <mc:AlternateContent>
          <mc:Choice Requires="wps">
            <w:drawing>
              <wp:anchor distT="0" distB="0" distL="114300" distR="114300" simplePos="0" relativeHeight="125829389" behindDoc="0" locked="0" layoutInCell="1" allowOverlap="1">
                <wp:simplePos x="0" y="0"/>
                <wp:positionH relativeFrom="page">
                  <wp:posOffset>702310</wp:posOffset>
                </wp:positionH>
                <wp:positionV relativeFrom="paragraph">
                  <wp:posOffset>215900</wp:posOffset>
                </wp:positionV>
                <wp:extent cx="1212850" cy="362585"/>
                <wp:wrapSquare wrapText="bothSides"/>
                <wp:docPr id="13" name="Shape 13"/>
                <a:graphic xmlns:a="http://schemas.openxmlformats.org/drawingml/2006/main">
                  <a:graphicData uri="http://schemas.microsoft.com/office/word/2010/wordprocessingShape">
                    <wps:wsp>
                      <wps:cNvSpPr txBox="1"/>
                      <wps:spPr>
                        <a:xfrm>
                          <a:ext cx="1212850" cy="36258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Исп.Журавлев М.А. тел.8(342)235-12-89</w:t>
                            </w:r>
                          </w:p>
                        </w:txbxContent>
                      </wps:txbx>
                      <wps:bodyPr lIns="0" tIns="0" rIns="0" bIns="0">
                        <a:noAutoFit/>
                      </wps:bodyPr>
                    </wps:wsp>
                  </a:graphicData>
                </a:graphic>
              </wp:anchor>
            </w:drawing>
          </mc:Choice>
          <mc:Fallback>
            <w:pict>
              <v:shape id="_x0000_s1039" type="#_x0000_t202" style="position:absolute;margin-left:55.300000000000004pt;margin-top:17.pt;width:95.5pt;height:28.550000000000001pt;z-index:-125829364;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Исп.Журавлев М.А. тел.8(342)235-12-89</w:t>
                      </w:r>
                    </w:p>
                  </w:txbxContent>
                </v:textbox>
                <w10:wrap type="square" anchorx="page"/>
              </v:shape>
            </w:pict>
          </mc:Fallback>
        </mc:AlternateContent>
      </w: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25"/>
        <w:keepNext w:val="0"/>
        <w:keepLines w:val="0"/>
        <w:widowControl w:val="0"/>
        <w:shd w:val="clear" w:color="auto" w:fill="auto"/>
        <w:bidi w:val="0"/>
        <w:spacing w:before="0" w:after="0" w:line="240" w:lineRule="auto"/>
        <w:ind w:left="1020" w:right="0" w:firstLine="0"/>
        <w:jc w:val="both"/>
        <w:rPr>
          <w:sz w:val="11"/>
          <w:szCs w:val="11"/>
        </w:rPr>
      </w:pPr>
      <w:r>
        <w:rPr>
          <w:color w:val="000000"/>
          <w:spacing w:val="0"/>
          <w:w w:val="100"/>
          <w:position w:val="0"/>
          <w:sz w:val="12"/>
          <w:szCs w:val="12"/>
          <w:shd w:val="clear" w:color="auto" w:fill="auto"/>
          <w:lang w:val="ru-RU" w:eastAsia="ru-RU" w:bidi="ru-RU"/>
        </w:rPr>
        <w:t xml:space="preserve">Кому </w:t>
      </w:r>
      <w:r>
        <w:rPr>
          <w:color w:val="696969"/>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Журавлев Михаил Алексеевич</w:t>
      </w:r>
    </w:p>
    <w:p>
      <w:pPr>
        <w:pStyle w:val="Style25"/>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08В5Е871В9ЕЕЮ2887ЕЕ4ВА36ОС17А75</w:t>
      </w:r>
    </w:p>
    <w:p>
      <w:pPr>
        <w:pStyle w:val="Style25"/>
        <w:keepNext w:val="0"/>
        <w:keepLines w:val="0"/>
        <w:widowControl w:val="0"/>
        <w:shd w:val="clear" w:color="auto" w:fill="auto"/>
        <w:bidi w:val="0"/>
        <w:spacing w:before="0" w:after="0" w:line="240" w:lineRule="auto"/>
        <w:ind w:right="0" w:firstLine="0"/>
        <w:jc w:val="both"/>
      </w:pPr>
      <w:r>
        <w:rPr>
          <w:color w:val="696969"/>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96969"/>
          <w:spacing w:val="0"/>
          <w:w w:val="100"/>
          <w:position w:val="0"/>
          <w:shd w:val="clear" w:color="auto" w:fill="auto"/>
          <w:lang w:val="ru-RU" w:eastAsia="ru-RU" w:bidi="ru-RU"/>
        </w:rPr>
        <w:t xml:space="preserve">31.07.2024 </w:t>
      </w:r>
      <w:r>
        <w:rPr>
          <w:color w:val="8D8D8D"/>
          <w:spacing w:val="0"/>
          <w:w w:val="100"/>
          <w:position w:val="0"/>
          <w:shd w:val="clear" w:color="auto" w:fill="auto"/>
          <w:lang w:val="ru-RU" w:eastAsia="ru-RU" w:bidi="ru-RU"/>
        </w:rPr>
        <w:t xml:space="preserve">по </w:t>
      </w:r>
      <w:r>
        <w:rPr>
          <w:color w:val="696969"/>
          <w:spacing w:val="0"/>
          <w:w w:val="100"/>
          <w:position w:val="0"/>
          <w:shd w:val="clear" w:color="auto" w:fill="auto"/>
          <w:lang w:val="ru-RU" w:eastAsia="ru-RU" w:bidi="ru-RU"/>
        </w:rPr>
        <w:t>24.10.2025</w:t>
      </w:r>
    </w:p>
    <w:sectPr>
      <w:footerReference w:type="default" r:id="rId7"/>
      <w:footerReference w:type="first" r:id="rId8"/>
      <w:footnotePr>
        <w:pos w:val="pageBottom"/>
        <w:numFmt w:val="decimal"/>
        <w:numRestart w:val="continuous"/>
      </w:footnotePr>
      <w:pgSz w:w="11900" w:h="16840"/>
      <w:pgMar w:top="816" w:right="541" w:bottom="1160" w:left="1101"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10020300</wp:posOffset>
              </wp:positionV>
              <wp:extent cx="725170" cy="100330"/>
              <wp:wrapNone/>
              <wp:docPr id="15" name="Shape 1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2024-10217</w:t>
                          </w:r>
                        </w:p>
                      </w:txbxContent>
                    </wps:txbx>
                    <wps:bodyPr wrap="none" lIns="0" tIns="0" rIns="0" bIns="0">
                      <a:spAutoFit/>
                    </wps:bodyPr>
                  </wps:wsp>
                </a:graphicData>
              </a:graphic>
            </wp:anchor>
          </w:drawing>
        </mc:Choice>
        <mc:Fallback>
          <w:pict>
            <v:shape id="_x0000_s1041" type="#_x0000_t202" style="position:absolute;margin-left:57.pt;margin-top:789.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2024-10217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10020300</wp:posOffset>
              </wp:positionV>
              <wp:extent cx="725170" cy="100330"/>
              <wp:wrapNone/>
              <wp:docPr id="17" name="Shape 1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2024-10217</w:t>
                          </w:r>
                        </w:p>
                      </w:txbxContent>
                    </wps:txbx>
                    <wps:bodyPr wrap="none" lIns="0" tIns="0" rIns="0" bIns="0">
                      <a:spAutoFit/>
                    </wps:bodyPr>
                  </wps:wsp>
                </a:graphicData>
              </a:graphic>
            </wp:anchor>
          </w:drawing>
        </mc:Choice>
        <mc:Fallback>
          <w:pict>
            <v:shape id="_x0000_s1043" type="#_x0000_t202" style="position:absolute;margin-left:57.200000000000003pt;margin-top:789.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2024-10217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6">
    <w:name w:val="Основной текст (5)_"/>
    <w:basedOn w:val="DefaultParagraphFont"/>
    <w:link w:val="Style5"/>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8">
    <w:name w:val="Основной текст (6)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1">
    <w:name w:val="Основной текст (3)_"/>
    <w:basedOn w:val="DefaultParagraphFont"/>
    <w:link w:val="Style10"/>
    <w:rPr>
      <w:rFonts w:ascii="Times New Roman" w:eastAsia="Times New Roman" w:hAnsi="Times New Roman" w:cs="Times New Roman"/>
      <w:b w:val="0"/>
      <w:bCs w:val="0"/>
      <w:i w:val="0"/>
      <w:iCs w:val="0"/>
      <w:smallCaps w:val="0"/>
      <w:strike w:val="0"/>
      <w:color w:val="222222"/>
      <w:sz w:val="12"/>
      <w:szCs w:val="12"/>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8">
    <w:name w:val="Заголовок №2_"/>
    <w:basedOn w:val="DefaultParagraphFont"/>
    <w:link w:val="Style17"/>
    <w:rPr>
      <w:rFonts w:ascii="Times New Roman" w:eastAsia="Times New Roman" w:hAnsi="Times New Roman" w:cs="Times New Roman"/>
      <w:b/>
      <w:bCs/>
      <w:i w:val="0"/>
      <w:iCs w:val="0"/>
      <w:smallCaps w:val="0"/>
      <w:strike w:val="0"/>
      <w:u w:val="none"/>
    </w:rPr>
  </w:style>
  <w:style w:type="character" w:customStyle="1" w:styleId="CharStyle20">
    <w:name w:val="Колонтитул (2)_"/>
    <w:basedOn w:val="DefaultParagraphFont"/>
    <w:link w:val="Style19"/>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32"/>
      <w:szCs w:val="3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444444"/>
      <w:sz w:val="12"/>
      <w:szCs w:val="12"/>
      <w:u w:val="none"/>
    </w:rPr>
  </w:style>
  <w:style w:type="paragraph" w:customStyle="1" w:styleId="Style2">
    <w:name w:val="Основной текст (4)"/>
    <w:basedOn w:val="Normal"/>
    <w:link w:val="CharStyle3"/>
    <w:pPr>
      <w:widowControl w:val="0"/>
      <w:shd w:val="clear" w:color="auto" w:fill="auto"/>
      <w:spacing w:after="30" w:line="269"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5">
    <w:name w:val="Основной текст (5)"/>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7">
    <w:name w:val="Основной текст (6)"/>
    <w:basedOn w:val="Normal"/>
    <w:link w:val="CharStyle8"/>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0">
    <w:name w:val="Основной текст (3)"/>
    <w:basedOn w:val="Normal"/>
    <w:link w:val="CharStyle11"/>
    <w:pPr>
      <w:widowControl w:val="0"/>
      <w:shd w:val="clear" w:color="auto" w:fill="auto"/>
      <w:spacing w:after="340" w:line="218" w:lineRule="auto"/>
      <w:ind w:left="1660"/>
    </w:pPr>
    <w:rPr>
      <w:rFonts w:ascii="Times New Roman" w:eastAsia="Times New Roman" w:hAnsi="Times New Roman" w:cs="Times New Roman"/>
      <w:b w:val="0"/>
      <w:bCs w:val="0"/>
      <w:i w:val="0"/>
      <w:iCs w:val="0"/>
      <w:smallCaps w:val="0"/>
      <w:strike w:val="0"/>
      <w:color w:val="222222"/>
      <w:sz w:val="12"/>
      <w:szCs w:val="12"/>
      <w:u w:val="none"/>
    </w:rPr>
  </w:style>
  <w:style w:type="paragraph" w:customStyle="1" w:styleId="Style13">
    <w:name w:val="Основной текст"/>
    <w:basedOn w:val="Normal"/>
    <w:link w:val="CharStyle14"/>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Заголовок №2"/>
    <w:basedOn w:val="Normal"/>
    <w:link w:val="CharStyle18"/>
    <w:pPr>
      <w:widowControl w:val="0"/>
      <w:shd w:val="clear" w:color="auto" w:fill="auto"/>
      <w:ind w:left="1040"/>
      <w:outlineLvl w:val="1"/>
    </w:pPr>
    <w:rPr>
      <w:rFonts w:ascii="Times New Roman" w:eastAsia="Times New Roman" w:hAnsi="Times New Roman" w:cs="Times New Roman"/>
      <w:b/>
      <w:bCs/>
      <w:i w:val="0"/>
      <w:iCs w:val="0"/>
      <w:smallCaps w:val="0"/>
      <w:strike w:val="0"/>
      <w:u w:val="none"/>
    </w:rPr>
  </w:style>
  <w:style w:type="paragraph" w:customStyle="1" w:styleId="Style19">
    <w:name w:val="Колонтитул (2)"/>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Заголовок №1"/>
    <w:basedOn w:val="Normal"/>
    <w:link w:val="CharStyle23"/>
    <w:pPr>
      <w:widowControl w:val="0"/>
      <w:shd w:val="clear" w:color="auto" w:fill="auto"/>
      <w:spacing w:after="240"/>
      <w:outlineLvl w:val="0"/>
    </w:pPr>
    <w:rPr>
      <w:rFonts w:ascii="Arial" w:eastAsia="Arial" w:hAnsi="Arial" w:cs="Arial"/>
      <w:b w:val="0"/>
      <w:bCs w:val="0"/>
      <w:i w:val="0"/>
      <w:iCs w:val="0"/>
      <w:smallCaps w:val="0"/>
      <w:strike w:val="0"/>
      <w:sz w:val="32"/>
      <w:szCs w:val="32"/>
      <w:u w:val="none"/>
    </w:rPr>
  </w:style>
  <w:style w:type="paragraph" w:customStyle="1" w:styleId="Style25">
    <w:name w:val="Основной текст (2)"/>
    <w:basedOn w:val="Normal"/>
    <w:link w:val="CharStyle26"/>
    <w:pPr>
      <w:widowControl w:val="0"/>
      <w:shd w:val="clear" w:color="auto" w:fill="auto"/>
      <w:ind w:left="3100"/>
    </w:pPr>
    <w:rPr>
      <w:rFonts w:ascii="Arial" w:eastAsia="Arial" w:hAnsi="Arial" w:cs="Arial"/>
      <w:b w:val="0"/>
      <w:bCs w:val="0"/>
      <w:i w:val="0"/>
      <w:iCs w:val="0"/>
      <w:smallCaps w:val="0"/>
      <w:strike w:val="0"/>
      <w:color w:val="444444"/>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