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648585" distL="1165860" distR="1129665" simplePos="0" relativeHeight="125829378" behindDoc="0" locked="0" layoutInCell="1" allowOverlap="1">
            <wp:simplePos x="0" y="0"/>
            <wp:positionH relativeFrom="page">
              <wp:posOffset>1774825</wp:posOffset>
            </wp:positionH>
            <wp:positionV relativeFrom="paragraph">
              <wp:posOffset>12700</wp:posOffset>
            </wp:positionV>
            <wp:extent cx="530225" cy="61595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0225" cy="615950"/>
                    </a:xfrm>
                    <a:prstGeom prst="rect"/>
                  </pic:spPr>
                </pic:pic>
              </a:graphicData>
            </a:graphic>
          </wp:anchor>
        </w:drawing>
      </w:r>
      <w:r>
        <mc:AlternateContent>
          <mc:Choice Requires="wps">
            <w:drawing>
              <wp:anchor distT="615950" distB="792480" distL="114300" distR="132715" simplePos="0" relativeHeight="125829379" behindDoc="0" locked="0" layoutInCell="1" allowOverlap="1">
                <wp:simplePos x="0" y="0"/>
                <wp:positionH relativeFrom="page">
                  <wp:posOffset>723265</wp:posOffset>
                </wp:positionH>
                <wp:positionV relativeFrom="paragraph">
                  <wp:posOffset>628650</wp:posOffset>
                </wp:positionV>
                <wp:extent cx="2578735" cy="1852930"/>
                <wp:wrapSquare wrapText="right"/>
                <wp:docPr id="3" name="Shape 3"/>
                <a:graphic xmlns:a="http://schemas.openxmlformats.org/drawingml/2006/main">
                  <a:graphicData uri="http://schemas.microsoft.com/office/word/2010/wordprocessingShape">
                    <wps:wsp>
                      <wps:cNvSpPr txBox="1"/>
                      <wps:spPr>
                        <a:xfrm>
                          <a:ext cx="2578735" cy="1852930"/>
                        </a:xfrm>
                        <a:prstGeom prst="rect"/>
                        <a:noFill/>
                      </wps:spPr>
                      <wps:txbx>
                        <w:txbxContent>
                          <w:p>
                            <w:pPr>
                              <w:pStyle w:val="Style2"/>
                              <w:keepNext w:val="0"/>
                              <w:keepLines w:val="0"/>
                              <w:widowControl w:val="0"/>
                              <w:shd w:val="clear" w:color="auto" w:fill="auto"/>
                              <w:bidi w:val="0"/>
                              <w:spacing w:before="0" w:after="180" w:line="259" w:lineRule="auto"/>
                              <w:ind w:left="0" w:right="0" w:firstLine="0"/>
                              <w:jc w:val="center"/>
                              <w:rPr>
                                <w:sz w:val="19"/>
                                <w:szCs w:val="19"/>
                              </w:rPr>
                            </w:pPr>
                            <w:r>
                              <w:rPr>
                                <w:b/>
                                <w:bCs/>
                                <w:i w:val="0"/>
                                <w:iCs w:val="0"/>
                                <w:color w:val="3D60B1"/>
                                <w:spacing w:val="0"/>
                                <w:w w:val="100"/>
                                <w:position w:val="0"/>
                                <w:sz w:val="19"/>
                                <w:szCs w:val="19"/>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0"/>
                              <w:ind w:left="0" w:right="0" w:firstLine="0"/>
                              <w:jc w:val="center"/>
                              <w:rPr>
                                <w:sz w:val="19"/>
                                <w:szCs w:val="19"/>
                              </w:rPr>
                            </w:pPr>
                            <w:r>
                              <w:rPr>
                                <w:b/>
                                <w:bCs/>
                                <w:i w:val="0"/>
                                <w:iCs w:val="0"/>
                                <w:color w:val="3D60B1"/>
                                <w:spacing w:val="0"/>
                                <w:w w:val="100"/>
                                <w:position w:val="0"/>
                                <w:sz w:val="19"/>
                                <w:szCs w:val="19"/>
                                <w:shd w:val="clear" w:color="auto" w:fill="auto"/>
                                <w:lang w:val="ru-RU" w:eastAsia="ru-RU" w:bidi="ru-RU"/>
                              </w:rPr>
                              <w:t>УПРАВЛЕНИЕ</w:t>
                            </w:r>
                          </w:p>
                          <w:p>
                            <w:pPr>
                              <w:pStyle w:val="Style2"/>
                              <w:keepNext w:val="0"/>
                              <w:keepLines w:val="0"/>
                              <w:widowControl w:val="0"/>
                              <w:shd w:val="clear" w:color="auto" w:fill="auto"/>
                              <w:bidi w:val="0"/>
                              <w:spacing w:before="0" w:after="0"/>
                              <w:ind w:left="0" w:right="0" w:firstLine="0"/>
                              <w:jc w:val="center"/>
                              <w:rPr>
                                <w:sz w:val="19"/>
                                <w:szCs w:val="19"/>
                              </w:rPr>
                            </w:pPr>
                            <w:r>
                              <w:rPr>
                                <w:b/>
                                <w:bCs/>
                                <w:i w:val="0"/>
                                <w:iCs w:val="0"/>
                                <w:color w:val="3D60B1"/>
                                <w:spacing w:val="0"/>
                                <w:w w:val="100"/>
                                <w:position w:val="0"/>
                                <w:sz w:val="19"/>
                                <w:szCs w:val="19"/>
                                <w:shd w:val="clear" w:color="auto" w:fill="auto"/>
                                <w:lang w:val="ru-RU" w:eastAsia="ru-RU" w:bidi="ru-RU"/>
                              </w:rPr>
                              <w:t>Федеральной антимонопольной</w:t>
                              <w:br/>
                              <w:t>службы по Ханты-Мансийскому</w:t>
                              <w:br/>
                              <w:t>автономному округу - Югре</w:t>
                            </w:r>
                          </w:p>
                          <w:p>
                            <w:pPr>
                              <w:pStyle w:val="Style2"/>
                              <w:keepNext w:val="0"/>
                              <w:keepLines w:val="0"/>
                              <w:widowControl w:val="0"/>
                              <w:shd w:val="clear" w:color="auto" w:fill="auto"/>
                              <w:bidi w:val="0"/>
                              <w:spacing w:before="0" w:after="0" w:line="240" w:lineRule="auto"/>
                              <w:ind w:left="0" w:right="0" w:firstLine="0"/>
                              <w:jc w:val="center"/>
                              <w:rPr>
                                <w:sz w:val="19"/>
                                <w:szCs w:val="19"/>
                              </w:rPr>
                            </w:pPr>
                            <w:r>
                              <w:rPr>
                                <w:i w:val="0"/>
                                <w:iCs w:val="0"/>
                                <w:color w:val="3D60B1"/>
                                <w:spacing w:val="0"/>
                                <w:w w:val="100"/>
                                <w:position w:val="0"/>
                                <w:sz w:val="19"/>
                                <w:szCs w:val="19"/>
                                <w:shd w:val="clear" w:color="auto" w:fill="auto"/>
                                <w:lang w:val="ru-RU" w:eastAsia="ru-RU" w:bidi="ru-RU"/>
                              </w:rPr>
                              <w:t>ул. Мира, д. 27, Ханты-Мансийск, 628012</w:t>
                              <w:br/>
                              <w:t>телефон/факс +7 (3467) 38-80-81</w:t>
                            </w:r>
                          </w:p>
                          <w:p>
                            <w:pPr>
                              <w:pStyle w:val="Style6"/>
                              <w:keepNext w:val="0"/>
                              <w:keepLines w:val="0"/>
                              <w:widowControl w:val="0"/>
                              <w:shd w:val="clear" w:color="auto" w:fill="auto"/>
                              <w:bidi w:val="0"/>
                              <w:spacing w:before="0" w:after="0"/>
                              <w:ind w:left="0" w:right="0" w:firstLine="300"/>
                              <w:jc w:val="left"/>
                            </w:pPr>
                            <w:r>
                              <w:rPr>
                                <w:spacing w:val="0"/>
                                <w:w w:val="100"/>
                                <w:position w:val="0"/>
                                <w:shd w:val="clear" w:color="auto" w:fill="auto"/>
                                <w:lang w:val="ru-RU" w:eastAsia="ru-RU" w:bidi="ru-RU"/>
                              </w:rPr>
                              <w:t>е-таП: 1о86@Га8.§оу.ги, сайт 1Шр://11тао.Га8.§оу.ги</w:t>
                            </w:r>
                          </w:p>
                          <w:p>
                            <w:pPr>
                              <w:pStyle w:val="Style6"/>
                              <w:keepNext w:val="0"/>
                              <w:keepLines w:val="0"/>
                              <w:widowControl w:val="0"/>
                              <w:shd w:val="clear" w:color="auto" w:fill="auto"/>
                              <w:bidi w:val="0"/>
                              <w:spacing w:before="0" w:after="180"/>
                              <w:ind w:left="0" w:right="0" w:firstLine="0"/>
                              <w:jc w:val="left"/>
                            </w:pPr>
                            <w:r>
                              <w:rPr>
                                <w:spacing w:val="0"/>
                                <w:w w:val="100"/>
                                <w:position w:val="0"/>
                                <w:shd w:val="clear" w:color="auto" w:fill="auto"/>
                                <w:lang w:val="ru-RU" w:eastAsia="ru-RU" w:bidi="ru-RU"/>
                              </w:rPr>
                              <w:t>ИНН 8601009316 КПП 860101001 ОГРН 1028600512093</w:t>
                            </w:r>
                          </w:p>
                          <w:p>
                            <w:pPr>
                              <w:pStyle w:val="Style2"/>
                              <w:keepNext w:val="0"/>
                              <w:keepLines w:val="0"/>
                              <w:widowControl w:val="0"/>
                              <w:shd w:val="clear" w:color="auto" w:fill="auto"/>
                              <w:tabs>
                                <w:tab w:leader="underscore" w:pos="1762" w:val="left"/>
                                <w:tab w:leader="underscore" w:pos="3926" w:val="left"/>
                              </w:tabs>
                              <w:bidi w:val="0"/>
                              <w:spacing w:before="0" w:after="100"/>
                              <w:ind w:left="0" w:right="0" w:firstLine="0"/>
                              <w:jc w:val="left"/>
                              <w:rPr>
                                <w:sz w:val="19"/>
                                <w:szCs w:val="19"/>
                              </w:rPr>
                            </w:pPr>
                            <w:r>
                              <w:rPr>
                                <w:i w:val="0"/>
                                <w:iCs w:val="0"/>
                                <w:color w:val="3D60B1"/>
                                <w:spacing w:val="0"/>
                                <w:w w:val="100"/>
                                <w:position w:val="0"/>
                                <w:sz w:val="19"/>
                                <w:szCs w:val="19"/>
                                <w:shd w:val="clear" w:color="auto" w:fill="auto"/>
                                <w:lang w:val="ru-RU" w:eastAsia="ru-RU" w:bidi="ru-RU"/>
                              </w:rPr>
                              <w:tab/>
                              <w:t xml:space="preserve"> №</w:t>
                              <w:tab/>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6.950000000000003pt;margin-top:49.5pt;width:203.05000000000001pt;height:145.90000000000001pt;z-index:-125829374;mso-wrap-distance-left:9.pt;mso-wrap-distance-top:48.5pt;mso-wrap-distance-right:10.450000000000001pt;mso-wrap-distance-bottom:62.399999999999999pt;mso-position-horizontal-relative:page" filled="f" stroked="f">
                <v:textbox inset="0,0,0,0">
                  <w:txbxContent>
                    <w:p>
                      <w:pPr>
                        <w:pStyle w:val="Style2"/>
                        <w:keepNext w:val="0"/>
                        <w:keepLines w:val="0"/>
                        <w:widowControl w:val="0"/>
                        <w:shd w:val="clear" w:color="auto" w:fill="auto"/>
                        <w:bidi w:val="0"/>
                        <w:spacing w:before="0" w:after="180" w:line="259" w:lineRule="auto"/>
                        <w:ind w:left="0" w:right="0" w:firstLine="0"/>
                        <w:jc w:val="center"/>
                        <w:rPr>
                          <w:sz w:val="19"/>
                          <w:szCs w:val="19"/>
                        </w:rPr>
                      </w:pPr>
                      <w:r>
                        <w:rPr>
                          <w:b/>
                          <w:bCs/>
                          <w:i w:val="0"/>
                          <w:iCs w:val="0"/>
                          <w:color w:val="3D60B1"/>
                          <w:spacing w:val="0"/>
                          <w:w w:val="100"/>
                          <w:position w:val="0"/>
                          <w:sz w:val="19"/>
                          <w:szCs w:val="19"/>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0"/>
                        <w:ind w:left="0" w:right="0" w:firstLine="0"/>
                        <w:jc w:val="center"/>
                        <w:rPr>
                          <w:sz w:val="19"/>
                          <w:szCs w:val="19"/>
                        </w:rPr>
                      </w:pPr>
                      <w:r>
                        <w:rPr>
                          <w:b/>
                          <w:bCs/>
                          <w:i w:val="0"/>
                          <w:iCs w:val="0"/>
                          <w:color w:val="3D60B1"/>
                          <w:spacing w:val="0"/>
                          <w:w w:val="100"/>
                          <w:position w:val="0"/>
                          <w:sz w:val="19"/>
                          <w:szCs w:val="19"/>
                          <w:shd w:val="clear" w:color="auto" w:fill="auto"/>
                          <w:lang w:val="ru-RU" w:eastAsia="ru-RU" w:bidi="ru-RU"/>
                        </w:rPr>
                        <w:t>УПРАВЛЕНИЕ</w:t>
                      </w:r>
                    </w:p>
                    <w:p>
                      <w:pPr>
                        <w:pStyle w:val="Style2"/>
                        <w:keepNext w:val="0"/>
                        <w:keepLines w:val="0"/>
                        <w:widowControl w:val="0"/>
                        <w:shd w:val="clear" w:color="auto" w:fill="auto"/>
                        <w:bidi w:val="0"/>
                        <w:spacing w:before="0" w:after="0"/>
                        <w:ind w:left="0" w:right="0" w:firstLine="0"/>
                        <w:jc w:val="center"/>
                        <w:rPr>
                          <w:sz w:val="19"/>
                          <w:szCs w:val="19"/>
                        </w:rPr>
                      </w:pPr>
                      <w:r>
                        <w:rPr>
                          <w:b/>
                          <w:bCs/>
                          <w:i w:val="0"/>
                          <w:iCs w:val="0"/>
                          <w:color w:val="3D60B1"/>
                          <w:spacing w:val="0"/>
                          <w:w w:val="100"/>
                          <w:position w:val="0"/>
                          <w:sz w:val="19"/>
                          <w:szCs w:val="19"/>
                          <w:shd w:val="clear" w:color="auto" w:fill="auto"/>
                          <w:lang w:val="ru-RU" w:eastAsia="ru-RU" w:bidi="ru-RU"/>
                        </w:rPr>
                        <w:t>Федеральной антимонопольной</w:t>
                        <w:br/>
                        <w:t>службы по Ханты-Мансийскому</w:t>
                        <w:br/>
                        <w:t>автономному округу - Югре</w:t>
                      </w:r>
                    </w:p>
                    <w:p>
                      <w:pPr>
                        <w:pStyle w:val="Style2"/>
                        <w:keepNext w:val="0"/>
                        <w:keepLines w:val="0"/>
                        <w:widowControl w:val="0"/>
                        <w:shd w:val="clear" w:color="auto" w:fill="auto"/>
                        <w:bidi w:val="0"/>
                        <w:spacing w:before="0" w:after="0" w:line="240" w:lineRule="auto"/>
                        <w:ind w:left="0" w:right="0" w:firstLine="0"/>
                        <w:jc w:val="center"/>
                        <w:rPr>
                          <w:sz w:val="19"/>
                          <w:szCs w:val="19"/>
                        </w:rPr>
                      </w:pPr>
                      <w:r>
                        <w:rPr>
                          <w:i w:val="0"/>
                          <w:iCs w:val="0"/>
                          <w:color w:val="3D60B1"/>
                          <w:spacing w:val="0"/>
                          <w:w w:val="100"/>
                          <w:position w:val="0"/>
                          <w:sz w:val="19"/>
                          <w:szCs w:val="19"/>
                          <w:shd w:val="clear" w:color="auto" w:fill="auto"/>
                          <w:lang w:val="ru-RU" w:eastAsia="ru-RU" w:bidi="ru-RU"/>
                        </w:rPr>
                        <w:t>ул. Мира, д. 27, Ханты-Мансийск, 628012</w:t>
                        <w:br/>
                        <w:t>телефон/факс +7 (3467) 38-80-81</w:t>
                      </w:r>
                    </w:p>
                    <w:p>
                      <w:pPr>
                        <w:pStyle w:val="Style6"/>
                        <w:keepNext w:val="0"/>
                        <w:keepLines w:val="0"/>
                        <w:widowControl w:val="0"/>
                        <w:shd w:val="clear" w:color="auto" w:fill="auto"/>
                        <w:bidi w:val="0"/>
                        <w:spacing w:before="0" w:after="0"/>
                        <w:ind w:left="0" w:right="0" w:firstLine="300"/>
                        <w:jc w:val="left"/>
                      </w:pPr>
                      <w:r>
                        <w:rPr>
                          <w:spacing w:val="0"/>
                          <w:w w:val="100"/>
                          <w:position w:val="0"/>
                          <w:shd w:val="clear" w:color="auto" w:fill="auto"/>
                          <w:lang w:val="ru-RU" w:eastAsia="ru-RU" w:bidi="ru-RU"/>
                        </w:rPr>
                        <w:t>е-таП: 1о86@Га8.§оу.ги, сайт 1Шр://11тао.Га8.§оу.ги</w:t>
                      </w:r>
                    </w:p>
                    <w:p>
                      <w:pPr>
                        <w:pStyle w:val="Style6"/>
                        <w:keepNext w:val="0"/>
                        <w:keepLines w:val="0"/>
                        <w:widowControl w:val="0"/>
                        <w:shd w:val="clear" w:color="auto" w:fill="auto"/>
                        <w:bidi w:val="0"/>
                        <w:spacing w:before="0" w:after="180"/>
                        <w:ind w:left="0" w:right="0" w:firstLine="0"/>
                        <w:jc w:val="left"/>
                      </w:pPr>
                      <w:r>
                        <w:rPr>
                          <w:spacing w:val="0"/>
                          <w:w w:val="100"/>
                          <w:position w:val="0"/>
                          <w:shd w:val="clear" w:color="auto" w:fill="auto"/>
                          <w:lang w:val="ru-RU" w:eastAsia="ru-RU" w:bidi="ru-RU"/>
                        </w:rPr>
                        <w:t>ИНН 8601009316 КПП 860101001 ОГРН 1028600512093</w:t>
                      </w:r>
                    </w:p>
                    <w:p>
                      <w:pPr>
                        <w:pStyle w:val="Style2"/>
                        <w:keepNext w:val="0"/>
                        <w:keepLines w:val="0"/>
                        <w:widowControl w:val="0"/>
                        <w:shd w:val="clear" w:color="auto" w:fill="auto"/>
                        <w:tabs>
                          <w:tab w:leader="underscore" w:pos="1762" w:val="left"/>
                          <w:tab w:leader="underscore" w:pos="3926" w:val="left"/>
                        </w:tabs>
                        <w:bidi w:val="0"/>
                        <w:spacing w:before="0" w:after="100"/>
                        <w:ind w:left="0" w:right="0" w:firstLine="0"/>
                        <w:jc w:val="left"/>
                        <w:rPr>
                          <w:sz w:val="19"/>
                          <w:szCs w:val="19"/>
                        </w:rPr>
                      </w:pPr>
                      <w:r>
                        <w:rPr>
                          <w:i w:val="0"/>
                          <w:iCs w:val="0"/>
                          <w:color w:val="3D60B1"/>
                          <w:spacing w:val="0"/>
                          <w:w w:val="100"/>
                          <w:position w:val="0"/>
                          <w:sz w:val="19"/>
                          <w:szCs w:val="19"/>
                          <w:shd w:val="clear" w:color="auto" w:fill="auto"/>
                          <w:lang w:val="ru-RU" w:eastAsia="ru-RU" w:bidi="ru-RU"/>
                        </w:rPr>
                        <w:tab/>
                        <w:t xml:space="preserve"> №</w:t>
                        <w:tab/>
                      </w:r>
                    </w:p>
                  </w:txbxContent>
                </v:textbox>
                <w10:wrap type="square" side="right" anchorx="page"/>
              </v:shape>
            </w:pict>
          </mc:Fallback>
        </mc:AlternateContent>
      </w:r>
      <w:r>
        <w:drawing>
          <wp:anchor distT="3081020" distB="0" distL="117475" distR="114300" simplePos="0" relativeHeight="125829381" behindDoc="0" locked="0" layoutInCell="1" allowOverlap="1">
            <wp:simplePos x="0" y="0"/>
            <wp:positionH relativeFrom="page">
              <wp:posOffset>726440</wp:posOffset>
            </wp:positionH>
            <wp:positionV relativeFrom="paragraph">
              <wp:posOffset>3093720</wp:posOffset>
            </wp:positionV>
            <wp:extent cx="2597150" cy="182880"/>
            <wp:wrapSquare wrapText="right"/>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2597150" cy="18288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723265</wp:posOffset>
                </wp:positionH>
                <wp:positionV relativeFrom="paragraph">
                  <wp:posOffset>2658110</wp:posOffset>
                </wp:positionV>
                <wp:extent cx="2578735" cy="130810"/>
                <wp:wrapNone/>
                <wp:docPr id="7" name="Shape 7"/>
                <a:graphic xmlns:a="http://schemas.openxmlformats.org/drawingml/2006/main">
                  <a:graphicData uri="http://schemas.microsoft.com/office/word/2010/wordprocessingShape">
                    <wps:wsp>
                      <wps:cNvSpPr txBox="1"/>
                      <wps:spPr>
                        <a:xfrm>
                          <a:ext cx="2578735" cy="130810"/>
                        </a:xfrm>
                        <a:prstGeom prst="rect"/>
                        <a:noFill/>
                      </wps:spPr>
                      <wps:txbx>
                        <w:txbxContent>
                          <w:p>
                            <w:pPr>
                              <w:pStyle w:val="Style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На №  от</w:t>
                            </w:r>
                          </w:p>
                        </w:txbxContent>
                      </wps:txbx>
                      <wps:bodyPr lIns="0" tIns="0" rIns="0" bIns="0">
                        <a:noAutoFit/>
                      </wps:bodyPr>
                    </wps:wsp>
                  </a:graphicData>
                </a:graphic>
              </wp:anchor>
            </w:drawing>
          </mc:Choice>
          <mc:Fallback>
            <w:pict>
              <v:shape id="_x0000_s1033" type="#_x0000_t202" style="position:absolute;margin-left:56.950000000000003pt;margin-top:209.30000000000001pt;width:203.05000000000001pt;height:10.300000000000001pt;z-index:251657729;mso-wrap-distance-left:0;mso-wrap-distance-right:0;mso-position-horizontal-relative:page" filled="f" stroked="f">
                <v:textbox inset="0,0,0,0">
                  <w:txbxContent>
                    <w:p>
                      <w:pPr>
                        <w:pStyle w:val="Style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На №  от</w:t>
                      </w:r>
                    </w:p>
                  </w:txbxContent>
                </v:textbox>
                <w10:wrap anchorx="page"/>
              </v:shape>
            </w:pict>
          </mc:Fallback>
        </mc:AlternateContent>
      </w:r>
      <w:r>
        <w:drawing>
          <wp:anchor distT="139700" distB="0" distL="114300" distR="114300" simplePos="0" relativeHeight="125829382" behindDoc="0" locked="0" layoutInCell="1" allowOverlap="1">
            <wp:simplePos x="0" y="0"/>
            <wp:positionH relativeFrom="page">
              <wp:posOffset>716915</wp:posOffset>
            </wp:positionH>
            <wp:positionV relativeFrom="paragraph">
              <wp:posOffset>9262745</wp:posOffset>
            </wp:positionV>
            <wp:extent cx="1517650" cy="292735"/>
            <wp:wrapTopAndBottom/>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9"/>
                    <a:stretch/>
                  </pic:blipFill>
                  <pic:spPr>
                    <a:xfrm>
                      <a:ext cx="1517650" cy="292735"/>
                    </a:xfrm>
                    <a:prstGeom prst="rect"/>
                  </pic:spPr>
                </pic:pic>
              </a:graphicData>
            </a:graphic>
          </wp:anchor>
        </w:drawing>
      </w:r>
    </w:p>
    <w:p>
      <w:pPr>
        <w:pStyle w:val="Style10"/>
        <w:keepNext w:val="0"/>
        <w:keepLines w:val="0"/>
        <w:widowControl w:val="0"/>
        <w:shd w:val="clear" w:color="auto" w:fill="auto"/>
        <w:bidi w:val="0"/>
        <w:spacing w:before="0" w:after="0" w:line="240" w:lineRule="auto"/>
        <w:ind w:left="1020" w:right="0" w:firstLine="0"/>
        <w:jc w:val="left"/>
      </w:pPr>
      <w:r>
        <w:rPr>
          <w:b/>
          <w:bCs/>
          <w:color w:val="000000"/>
          <w:spacing w:val="0"/>
          <w:w w:val="100"/>
          <w:position w:val="0"/>
          <w:sz w:val="24"/>
          <w:szCs w:val="24"/>
          <w:shd w:val="clear" w:color="auto" w:fill="auto"/>
          <w:lang w:val="ru-RU" w:eastAsia="ru-RU" w:bidi="ru-RU"/>
        </w:rPr>
        <w:t>Оператор электронной площадки:</w:t>
      </w:r>
    </w:p>
    <w:p>
      <w:pPr>
        <w:pStyle w:val="Style10"/>
        <w:keepNext w:val="0"/>
        <w:keepLines w:val="0"/>
        <w:widowControl w:val="0"/>
        <w:shd w:val="clear" w:color="auto" w:fill="auto"/>
        <w:bidi w:val="0"/>
        <w:spacing w:before="0" w:after="0" w:line="240" w:lineRule="auto"/>
        <w:ind w:left="1020" w:right="0" w:firstLine="0"/>
        <w:jc w:val="left"/>
      </w:pPr>
      <w:r>
        <w:rPr>
          <w:color w:val="000000"/>
          <w:spacing w:val="0"/>
          <w:w w:val="100"/>
          <w:position w:val="0"/>
          <w:sz w:val="24"/>
          <w:szCs w:val="24"/>
          <w:shd w:val="clear" w:color="auto" w:fill="auto"/>
          <w:lang w:val="ru-RU" w:eastAsia="ru-RU" w:bidi="ru-RU"/>
        </w:rPr>
        <w:t>АО «ЕЭТП»</w:t>
      </w:r>
    </w:p>
    <w:p>
      <w:pPr>
        <w:pStyle w:val="Style10"/>
        <w:keepNext w:val="0"/>
        <w:keepLines w:val="0"/>
        <w:widowControl w:val="0"/>
        <w:shd w:val="clear" w:color="auto" w:fill="auto"/>
        <w:bidi w:val="0"/>
        <w:spacing w:before="0" w:after="0" w:line="240" w:lineRule="auto"/>
        <w:ind w:left="1020" w:right="0" w:firstLine="0"/>
        <w:jc w:val="left"/>
      </w:pPr>
      <w:r>
        <w:rPr>
          <w:color w:val="000000"/>
          <w:spacing w:val="0"/>
          <w:w w:val="100"/>
          <w:position w:val="0"/>
          <w:sz w:val="24"/>
          <w:szCs w:val="24"/>
          <w:shd w:val="clear" w:color="auto" w:fill="auto"/>
          <w:lang w:val="ru-RU" w:eastAsia="ru-RU" w:bidi="ru-RU"/>
        </w:rPr>
        <w:t>115114, Россия, Москва, ул. Кожевническая,</w:t>
      </w:r>
    </w:p>
    <w:p>
      <w:pPr>
        <w:pStyle w:val="Style10"/>
        <w:keepNext w:val="0"/>
        <w:keepLines w:val="0"/>
        <w:widowControl w:val="0"/>
        <w:shd w:val="clear" w:color="auto" w:fill="auto"/>
        <w:bidi w:val="0"/>
        <w:spacing w:before="0" w:after="240" w:line="240" w:lineRule="auto"/>
        <w:ind w:left="1020" w:right="0" w:firstLine="0"/>
        <w:jc w:val="left"/>
      </w:pPr>
      <w:r>
        <w:rPr>
          <w:color w:val="000000"/>
          <w:spacing w:val="0"/>
          <w:w w:val="100"/>
          <w:position w:val="0"/>
          <w:sz w:val="24"/>
          <w:szCs w:val="24"/>
          <w:shd w:val="clear" w:color="auto" w:fill="auto"/>
          <w:lang w:val="ru-RU" w:eastAsia="ru-RU" w:bidi="ru-RU"/>
        </w:rPr>
        <w:t>14, стр. 5</w:t>
      </w:r>
    </w:p>
    <w:p>
      <w:pPr>
        <w:pStyle w:val="Style10"/>
        <w:keepNext w:val="0"/>
        <w:keepLines w:val="0"/>
        <w:widowControl w:val="0"/>
        <w:shd w:val="clear" w:color="auto" w:fill="auto"/>
        <w:bidi w:val="0"/>
        <w:spacing w:before="0" w:after="0" w:line="240" w:lineRule="auto"/>
        <w:ind w:left="1020" w:right="0" w:firstLine="0"/>
        <w:jc w:val="left"/>
      </w:pPr>
      <w:r>
        <w:rPr>
          <w:b/>
          <w:bCs/>
          <w:color w:val="000000"/>
          <w:spacing w:val="0"/>
          <w:w w:val="100"/>
          <w:position w:val="0"/>
          <w:sz w:val="24"/>
          <w:szCs w:val="24"/>
          <w:shd w:val="clear" w:color="auto" w:fill="auto"/>
          <w:lang w:val="ru-RU" w:eastAsia="ru-RU" w:bidi="ru-RU"/>
        </w:rPr>
        <w:t>Заявитель:</w:t>
      </w:r>
    </w:p>
    <w:p>
      <w:pPr>
        <w:pStyle w:val="Style10"/>
        <w:keepNext w:val="0"/>
        <w:keepLines w:val="0"/>
        <w:widowControl w:val="0"/>
        <w:shd w:val="clear" w:color="auto" w:fill="auto"/>
        <w:bidi w:val="0"/>
        <w:spacing w:before="0" w:after="0" w:line="240" w:lineRule="auto"/>
        <w:ind w:left="1020" w:right="0" w:firstLine="0"/>
        <w:jc w:val="left"/>
      </w:pPr>
      <w:r>
        <w:rPr>
          <w:color w:val="000000"/>
          <w:spacing w:val="0"/>
          <w:w w:val="100"/>
          <w:position w:val="0"/>
          <w:sz w:val="24"/>
          <w:szCs w:val="24"/>
          <w:shd w:val="clear" w:color="auto" w:fill="auto"/>
          <w:lang w:val="ru-RU" w:eastAsia="ru-RU" w:bidi="ru-RU"/>
        </w:rPr>
        <w:t>ООО «СМАРТ ГРУПП»</w:t>
      </w:r>
    </w:p>
    <w:p>
      <w:pPr>
        <w:pStyle w:val="Style10"/>
        <w:keepNext w:val="0"/>
        <w:keepLines w:val="0"/>
        <w:widowControl w:val="0"/>
        <w:shd w:val="clear" w:color="auto" w:fill="auto"/>
        <w:bidi w:val="0"/>
        <w:spacing w:before="0" w:after="240" w:line="240" w:lineRule="auto"/>
        <w:ind w:left="1020" w:right="0" w:firstLine="0"/>
        <w:jc w:val="left"/>
      </w:pPr>
      <w:r>
        <w:rPr>
          <w:color w:val="000000"/>
          <w:spacing w:val="0"/>
          <w:w w:val="100"/>
          <w:position w:val="0"/>
          <w:sz w:val="24"/>
          <w:szCs w:val="24"/>
          <w:shd w:val="clear" w:color="auto" w:fill="auto"/>
          <w:lang w:val="ru-RU" w:eastAsia="ru-RU" w:bidi="ru-RU"/>
        </w:rPr>
        <w:t>426004, г. Ижевск, ул. Ленина, д. 62, офис 2</w:t>
      </w:r>
    </w:p>
    <w:p>
      <w:pPr>
        <w:pStyle w:val="Style10"/>
        <w:keepNext w:val="0"/>
        <w:keepLines w:val="0"/>
        <w:widowControl w:val="0"/>
        <w:shd w:val="clear" w:color="auto" w:fill="auto"/>
        <w:bidi w:val="0"/>
        <w:spacing w:before="0" w:after="0" w:line="240" w:lineRule="auto"/>
        <w:ind w:left="1020" w:right="0" w:firstLine="0"/>
        <w:jc w:val="left"/>
      </w:pPr>
      <w:r>
        <w:rPr>
          <w:b/>
          <w:bCs/>
          <w:color w:val="000000"/>
          <w:spacing w:val="0"/>
          <w:w w:val="100"/>
          <w:position w:val="0"/>
          <w:sz w:val="24"/>
          <w:szCs w:val="24"/>
          <w:shd w:val="clear" w:color="auto" w:fill="auto"/>
          <w:lang w:val="ru-RU" w:eastAsia="ru-RU" w:bidi="ru-RU"/>
        </w:rPr>
        <w:t>Заказчик:</w:t>
      </w:r>
    </w:p>
    <w:p>
      <w:pPr>
        <w:pStyle w:val="Style10"/>
        <w:keepNext w:val="0"/>
        <w:keepLines w:val="0"/>
        <w:widowControl w:val="0"/>
        <w:shd w:val="clear" w:color="auto" w:fill="auto"/>
        <w:bidi w:val="0"/>
        <w:spacing w:before="0" w:after="0" w:line="240" w:lineRule="auto"/>
        <w:ind w:left="1020" w:right="0" w:firstLine="0"/>
        <w:jc w:val="left"/>
      </w:pPr>
      <w:r>
        <w:rPr>
          <w:color w:val="000000"/>
          <w:spacing w:val="0"/>
          <w:w w:val="100"/>
          <w:position w:val="0"/>
          <w:sz w:val="24"/>
          <w:szCs w:val="24"/>
          <w:shd w:val="clear" w:color="auto" w:fill="auto"/>
          <w:lang w:val="ru-RU" w:eastAsia="ru-RU" w:bidi="ru-RU"/>
        </w:rPr>
        <w:t>Муниципальное казенное учреждение</w:t>
      </w:r>
    </w:p>
    <w:p>
      <w:pPr>
        <w:pStyle w:val="Style10"/>
        <w:keepNext w:val="0"/>
        <w:keepLines w:val="0"/>
        <w:widowControl w:val="0"/>
        <w:shd w:val="clear" w:color="auto" w:fill="auto"/>
        <w:bidi w:val="0"/>
        <w:spacing w:before="0" w:after="0" w:line="240" w:lineRule="auto"/>
        <w:ind w:left="1020" w:right="0" w:firstLine="0"/>
        <w:jc w:val="left"/>
      </w:pPr>
      <w:r>
        <w:rPr>
          <w:color w:val="000000"/>
          <w:spacing w:val="0"/>
          <w:w w:val="100"/>
          <w:position w:val="0"/>
          <w:sz w:val="24"/>
          <w:szCs w:val="24"/>
          <w:shd w:val="clear" w:color="auto" w:fill="auto"/>
          <w:lang w:val="ru-RU" w:eastAsia="ru-RU" w:bidi="ru-RU"/>
        </w:rPr>
        <w:t>«Управление информационных технологий и</w:t>
      </w:r>
    </w:p>
    <w:p>
      <w:pPr>
        <w:pStyle w:val="Style10"/>
        <w:keepNext w:val="0"/>
        <w:keepLines w:val="0"/>
        <w:widowControl w:val="0"/>
        <w:shd w:val="clear" w:color="auto" w:fill="auto"/>
        <w:bidi w:val="0"/>
        <w:spacing w:before="0" w:after="0" w:line="240" w:lineRule="auto"/>
        <w:ind w:left="1020" w:right="0" w:firstLine="0"/>
        <w:jc w:val="left"/>
      </w:pPr>
      <w:r>
        <w:rPr>
          <w:color w:val="000000"/>
          <w:spacing w:val="0"/>
          <w:w w:val="100"/>
          <w:position w:val="0"/>
          <w:sz w:val="24"/>
          <w:szCs w:val="24"/>
          <w:shd w:val="clear" w:color="auto" w:fill="auto"/>
          <w:lang w:val="ru-RU" w:eastAsia="ru-RU" w:bidi="ru-RU"/>
        </w:rPr>
        <w:t>связи города Сургута»</w:t>
      </w:r>
    </w:p>
    <w:p>
      <w:pPr>
        <w:pStyle w:val="Style10"/>
        <w:keepNext w:val="0"/>
        <w:keepLines w:val="0"/>
        <w:widowControl w:val="0"/>
        <w:shd w:val="clear" w:color="auto" w:fill="auto"/>
        <w:bidi w:val="0"/>
        <w:spacing w:before="0" w:after="240" w:line="240" w:lineRule="auto"/>
        <w:ind w:left="1020" w:right="0" w:firstLine="0"/>
        <w:jc w:val="left"/>
      </w:pPr>
      <w:r>
        <w:rPr>
          <w:color w:val="000000"/>
          <w:spacing w:val="0"/>
          <w:w w:val="100"/>
          <w:position w:val="0"/>
          <w:sz w:val="24"/>
          <w:szCs w:val="24"/>
          <w:shd w:val="clear" w:color="auto" w:fill="auto"/>
          <w:lang w:val="ru-RU" w:eastAsia="ru-RU" w:bidi="ru-RU"/>
        </w:rPr>
        <w:t>628408, Российская Федерация,Тюменская область, Ханты-Мансийский автономный округ - Югра, город Сургут, проезд Советов, дом 4</w:t>
      </w:r>
    </w:p>
    <w:p>
      <w:pPr>
        <w:pStyle w:val="Style10"/>
        <w:keepNext w:val="0"/>
        <w:keepLines w:val="0"/>
        <w:widowControl w:val="0"/>
        <w:shd w:val="clear" w:color="auto" w:fill="auto"/>
        <w:bidi w:val="0"/>
        <w:spacing w:before="0" w:after="0" w:line="240" w:lineRule="auto"/>
        <w:ind w:left="5320" w:right="0" w:firstLine="0"/>
        <w:jc w:val="left"/>
      </w:pPr>
      <w:r>
        <w:rPr>
          <w:b/>
          <w:bCs/>
          <w:color w:val="000000"/>
          <w:spacing w:val="0"/>
          <w:w w:val="100"/>
          <w:position w:val="0"/>
          <w:sz w:val="24"/>
          <w:szCs w:val="24"/>
          <w:shd w:val="clear" w:color="auto" w:fill="auto"/>
          <w:lang w:val="ru-RU" w:eastAsia="ru-RU" w:bidi="ru-RU"/>
        </w:rPr>
        <w:t>Уполномоченный орган:</w:t>
      </w:r>
    </w:p>
    <w:p>
      <w:pPr>
        <w:pStyle w:val="Style10"/>
        <w:keepNext w:val="0"/>
        <w:keepLines w:val="0"/>
        <w:widowControl w:val="0"/>
        <w:shd w:val="clear" w:color="auto" w:fill="auto"/>
        <w:bidi w:val="0"/>
        <w:spacing w:before="0" w:after="0" w:line="240" w:lineRule="auto"/>
        <w:ind w:left="5320" w:right="0" w:firstLine="0"/>
        <w:jc w:val="left"/>
      </w:pPr>
      <w:r>
        <w:rPr>
          <w:color w:val="000000"/>
          <w:spacing w:val="0"/>
          <w:w w:val="100"/>
          <w:position w:val="0"/>
          <w:sz w:val="24"/>
          <w:szCs w:val="24"/>
          <w:shd w:val="clear" w:color="auto" w:fill="auto"/>
          <w:lang w:val="ru-RU" w:eastAsia="ru-RU" w:bidi="ru-RU"/>
        </w:rPr>
        <w:t>Администрация города Сургута</w:t>
      </w:r>
    </w:p>
    <w:p>
      <w:pPr>
        <w:pStyle w:val="Style10"/>
        <w:keepNext w:val="0"/>
        <w:keepLines w:val="0"/>
        <w:widowControl w:val="0"/>
        <w:shd w:val="clear" w:color="auto" w:fill="auto"/>
        <w:bidi w:val="0"/>
        <w:spacing w:before="0" w:after="0" w:line="240" w:lineRule="auto"/>
        <w:ind w:left="5320" w:right="0" w:firstLine="0"/>
        <w:jc w:val="left"/>
      </w:pPr>
      <w:r>
        <w:rPr>
          <w:color w:val="000000"/>
          <w:spacing w:val="0"/>
          <w:w w:val="100"/>
          <w:position w:val="0"/>
          <w:sz w:val="24"/>
          <w:szCs w:val="24"/>
          <w:shd w:val="clear" w:color="auto" w:fill="auto"/>
          <w:lang w:val="ru-RU" w:eastAsia="ru-RU" w:bidi="ru-RU"/>
        </w:rPr>
        <w:t>628408, Ханты-Мансийский - Югра</w:t>
      </w:r>
    </w:p>
    <w:p>
      <w:pPr>
        <w:pStyle w:val="Style10"/>
        <w:keepNext w:val="0"/>
        <w:keepLines w:val="0"/>
        <w:widowControl w:val="0"/>
        <w:shd w:val="clear" w:color="auto" w:fill="auto"/>
        <w:bidi w:val="0"/>
        <w:spacing w:before="0" w:after="280" w:line="240" w:lineRule="auto"/>
        <w:ind w:left="5320" w:right="0" w:firstLine="0"/>
        <w:jc w:val="left"/>
      </w:pPr>
      <w:r>
        <w:rPr>
          <w:color w:val="000000"/>
          <w:spacing w:val="0"/>
          <w:w w:val="100"/>
          <w:position w:val="0"/>
          <w:sz w:val="24"/>
          <w:szCs w:val="24"/>
          <w:shd w:val="clear" w:color="auto" w:fill="auto"/>
          <w:lang w:val="ru-RU" w:eastAsia="ru-RU" w:bidi="ru-RU"/>
        </w:rPr>
        <w:t>автономный округ, город Сургут, ул. Энгельса, д.8</w:t>
      </w:r>
    </w:p>
    <w:p>
      <w:pPr>
        <w:pStyle w:val="Style10"/>
        <w:keepNext w:val="0"/>
        <w:keepLines w:val="0"/>
        <w:widowControl w:val="0"/>
        <w:shd w:val="clear" w:color="auto" w:fill="auto"/>
        <w:bidi w:val="0"/>
        <w:spacing w:before="0" w:after="240" w:line="240" w:lineRule="auto"/>
        <w:ind w:left="0" w:right="0" w:firstLine="0"/>
        <w:jc w:val="center"/>
      </w:pPr>
      <w:r>
        <w:rPr>
          <w:b/>
          <w:bCs/>
          <w:color w:val="000000"/>
          <w:spacing w:val="0"/>
          <w:w w:val="100"/>
          <w:position w:val="0"/>
          <w:sz w:val="24"/>
          <w:szCs w:val="24"/>
          <w:shd w:val="clear" w:color="auto" w:fill="auto"/>
          <w:lang w:val="ru-RU" w:eastAsia="ru-RU" w:bidi="ru-RU"/>
        </w:rPr>
        <w:t>РЕШЕНИЕ № 086/06/33-887/2024</w:t>
      </w:r>
    </w:p>
    <w:p>
      <w:pPr>
        <w:pStyle w:val="Style10"/>
        <w:keepNext w:val="0"/>
        <w:keepLines w:val="0"/>
        <w:widowControl w:val="0"/>
        <w:shd w:val="clear" w:color="auto" w:fill="auto"/>
        <w:tabs>
          <w:tab w:pos="8155" w:val="left"/>
        </w:tabs>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Резолютивная часть объявлена 10.06.2024</w:t>
        <w:tab/>
        <w:t>г. Ханты-Мансийск</w:t>
      </w:r>
    </w:p>
    <w:p>
      <w:pPr>
        <w:pStyle w:val="Style10"/>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Изготовлено в полном объеме 14.06.2024</w:t>
      </w:r>
    </w:p>
    <w:p>
      <w:pPr>
        <w:pStyle w:val="Style10"/>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Ханты-Мансийскому автономному округу - Югре (далее - Управление) по контролю в сфере закупок в составе:</w:t>
      </w:r>
    </w:p>
    <w:p>
      <w:pPr>
        <w:pStyle w:val="Style10"/>
        <w:keepNext w:val="0"/>
        <w:keepLines w:val="0"/>
        <w:widowControl w:val="0"/>
        <w:shd w:val="clear" w:color="auto" w:fill="auto"/>
        <w:bidi w:val="0"/>
        <w:spacing w:before="0" w:after="0" w:line="240" w:lineRule="auto"/>
        <w:ind w:left="0" w:right="0" w:firstLine="720"/>
        <w:jc w:val="left"/>
      </w:pPr>
      <w:r>
        <w:rPr>
          <w:color w:val="000000"/>
          <w:spacing w:val="0"/>
          <w:w w:val="100"/>
          <w:position w:val="0"/>
          <w:sz w:val="24"/>
          <w:szCs w:val="24"/>
          <w:shd w:val="clear" w:color="auto" w:fill="auto"/>
          <w:lang w:val="ru-RU" w:eastAsia="ru-RU" w:bidi="ru-RU"/>
        </w:rPr>
        <w:t>Председатель комиссии:</w:t>
      </w:r>
    </w:p>
    <w:p>
      <w:pPr>
        <w:pStyle w:val="Style10"/>
        <w:keepNext w:val="0"/>
        <w:keepLines w:val="0"/>
        <w:widowControl w:val="0"/>
        <w:numPr>
          <w:ilvl w:val="0"/>
          <w:numId w:val="1"/>
        </w:numPr>
        <w:shd w:val="clear" w:color="auto" w:fill="auto"/>
        <w:tabs>
          <w:tab w:pos="982" w:val="left"/>
        </w:tabs>
        <w:bidi w:val="0"/>
        <w:spacing w:before="0" w:after="0" w:line="240" w:lineRule="auto"/>
        <w:ind w:left="0" w:right="0" w:firstLine="720"/>
        <w:jc w:val="left"/>
      </w:pPr>
      <w:r>
        <w:rPr>
          <w:color w:val="000000"/>
          <w:spacing w:val="0"/>
          <w:w w:val="100"/>
          <w:position w:val="0"/>
          <w:sz w:val="24"/>
          <w:szCs w:val="24"/>
          <w:shd w:val="clear" w:color="auto" w:fill="auto"/>
          <w:lang w:val="ru-RU" w:eastAsia="ru-RU" w:bidi="ru-RU"/>
        </w:rPr>
        <w:t>Валиуллин Р.Р. - Заместитель руководителя Управления;</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Членов комиссии:</w:t>
      </w:r>
    </w:p>
    <w:p>
      <w:pPr>
        <w:pStyle w:val="Style10"/>
        <w:keepNext w:val="0"/>
        <w:keepLines w:val="0"/>
        <w:widowControl w:val="0"/>
        <w:numPr>
          <w:ilvl w:val="0"/>
          <w:numId w:val="1"/>
        </w:numPr>
        <w:shd w:val="clear" w:color="auto" w:fill="auto"/>
        <w:tabs>
          <w:tab w:pos="982"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Сафонов С.И.- Специалист-эксперт отдела Управления;</w:t>
      </w:r>
    </w:p>
    <w:p>
      <w:pPr>
        <w:pStyle w:val="Style10"/>
        <w:keepNext w:val="0"/>
        <w:keepLines w:val="0"/>
        <w:widowControl w:val="0"/>
        <w:numPr>
          <w:ilvl w:val="0"/>
          <w:numId w:val="1"/>
        </w:numPr>
        <w:shd w:val="clear" w:color="auto" w:fill="auto"/>
        <w:tabs>
          <w:tab w:pos="982"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Петухова Ю.А.- Эксперт отдела Управления;</w:t>
      </w:r>
    </w:p>
    <w:p>
      <w:pPr>
        <w:pStyle w:val="Style10"/>
        <w:keepNext w:val="0"/>
        <w:keepLines w:val="0"/>
        <w:widowControl w:val="0"/>
        <w:numPr>
          <w:ilvl w:val="0"/>
          <w:numId w:val="1"/>
        </w:numPr>
        <w:shd w:val="clear" w:color="auto" w:fill="auto"/>
        <w:tabs>
          <w:tab w:pos="982" w:val="left"/>
        </w:tabs>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Мацола А.А. - Старший специалист 1 разряда отдела Управления,</w:t>
      </w:r>
    </w:p>
    <w:p>
      <w:pPr>
        <w:pStyle w:val="Style10"/>
        <w:keepNext w:val="0"/>
        <w:keepLines w:val="0"/>
        <w:widowControl w:val="0"/>
        <w:numPr>
          <w:ilvl w:val="0"/>
          <w:numId w:val="1"/>
        </w:numPr>
        <w:shd w:val="clear" w:color="auto" w:fill="auto"/>
        <w:tabs>
          <w:tab w:pos="1016"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т Заявителя - посредством видеоконференц-связи Шалимов А.В. на основании доверенности № СГ-00024-23 от 19.02.2024;</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от Заказчика - посредством видеоконференц-связи Елисофенко О.В. на основании доверенности № 30 от 07.06.2024,</w:t>
      </w:r>
    </w:p>
    <w:p>
      <w:pPr>
        <w:pStyle w:val="Style10"/>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от Уполномоченного органа - посредством видеоконференц-связи Абдуллина А.С. на основании доверенности №422 от 21.11.2023,</w:t>
      </w:r>
    </w:p>
    <w:p>
      <w:pPr>
        <w:pStyle w:val="Style10"/>
        <w:keepNext w:val="0"/>
        <w:keepLines w:val="0"/>
        <w:widowControl w:val="0"/>
        <w:shd w:val="clear" w:color="auto" w:fill="auto"/>
        <w:bidi w:val="0"/>
        <w:spacing w:before="0" w:after="0" w:line="240" w:lineRule="auto"/>
        <w:ind w:left="0" w:right="0" w:firstLine="720"/>
        <w:jc w:val="left"/>
      </w:pPr>
      <w:r>
        <w:rPr>
          <w:color w:val="000000"/>
          <w:spacing w:val="0"/>
          <w:w w:val="100"/>
          <w:position w:val="0"/>
          <w:sz w:val="24"/>
          <w:szCs w:val="24"/>
          <w:shd w:val="clear" w:color="auto" w:fill="auto"/>
          <w:lang w:val="ru-RU" w:eastAsia="ru-RU" w:bidi="ru-RU"/>
        </w:rPr>
        <w:t>рассмотрев жалобу ООО «СМАРТ ГРУПП» (ИНН: 1841063508; ОГРН: 1161832065890) от</w:t>
      </w:r>
    </w:p>
    <w:p>
      <w:pPr>
        <w:pStyle w:val="Style10"/>
        <w:keepNext w:val="0"/>
        <w:keepLines w:val="0"/>
        <w:widowControl w:val="0"/>
        <w:shd w:val="clear" w:color="auto" w:fill="auto"/>
        <w:bidi w:val="0"/>
        <w:spacing w:before="0" w:after="140" w:line="240" w:lineRule="auto"/>
        <w:ind w:left="0" w:right="0" w:firstLine="0"/>
        <w:jc w:val="left"/>
      </w:pPr>
      <w:r>
        <w:rPr>
          <w:color w:val="000000"/>
          <w:spacing w:val="0"/>
          <w:w w:val="100"/>
          <w:position w:val="0"/>
          <w:sz w:val="24"/>
          <w:szCs w:val="24"/>
          <w:shd w:val="clear" w:color="auto" w:fill="auto"/>
          <w:lang w:val="ru-RU" w:eastAsia="ru-RU" w:bidi="ru-RU"/>
        </w:rPr>
        <w:t xml:space="preserve">05.06.2024 № 5478/24 на действия Заказчика — Муниципальное казенное учреждение </w:t>
      </w:r>
      <w:r>
        <w:rPr>
          <w:color w:val="000000"/>
          <w:spacing w:val="0"/>
          <w:w w:val="100"/>
          <w:position w:val="0"/>
          <w:sz w:val="24"/>
          <w:szCs w:val="24"/>
          <w:shd w:val="clear" w:color="auto" w:fill="auto"/>
          <w:lang w:val="ru-RU" w:eastAsia="ru-RU" w:bidi="ru-RU"/>
        </w:rPr>
        <w:t>«Управление информационных технологий и связи города Сургута», Уполномоченного органа — Администрация города Сургута, при проведении электронного аукциона, предметом которого является поставка комплексов автоматической фотовидеофиксации информации (извещение № 0187300006524000744) и в результате осуществления внеплановой проверки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0"/>
        <w:keepNext w:val="0"/>
        <w:keepLines w:val="0"/>
        <w:widowControl w:val="0"/>
        <w:shd w:val="clear" w:color="auto" w:fill="auto"/>
        <w:bidi w:val="0"/>
        <w:spacing w:before="0" w:after="420" w:line="240" w:lineRule="auto"/>
        <w:ind w:left="0" w:right="0" w:firstLine="0"/>
        <w:jc w:val="center"/>
      </w:pPr>
      <w:r>
        <w:rPr>
          <w:b/>
          <w:bCs/>
          <w:color w:val="000000"/>
          <w:spacing w:val="0"/>
          <w:w w:val="100"/>
          <w:position w:val="0"/>
          <w:sz w:val="24"/>
          <w:szCs w:val="24"/>
          <w:shd w:val="clear" w:color="auto" w:fill="auto"/>
          <w:lang w:val="ru-RU" w:eastAsia="ru-RU" w:bidi="ru-RU"/>
        </w:rPr>
        <w:t>УСТАНОВИЛА:</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Управление Федеральной антимонопольной службы по Ханты-Мансийскому автономному округу - Югре поступила жалоба ООО «СМАРТ ГРУПП» (ИНН: 1841063508; ОГРН: 1161832065890) от 05.06.2024 № 5478/24 на действия Заказчика — Муниципальное казенное учреждение «Управление информационных технологий и связи города Сургута», Уполномоченного органа — Администрация города Сургута, при проведении электронного аукциона, предметом которого является поставка комплексов автоматической фотовидеофиксации информации (извещение № 0187300006524000744).</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доводе жалобы Заявитель указал следующее.</w:t>
      </w:r>
    </w:p>
    <w:p>
      <w:pPr>
        <w:pStyle w:val="Style10"/>
        <w:keepNext w:val="0"/>
        <w:keepLines w:val="0"/>
        <w:widowControl w:val="0"/>
        <w:shd w:val="clear" w:color="auto" w:fill="auto"/>
        <w:bidi w:val="0"/>
        <w:spacing w:before="0" w:after="240" w:line="240" w:lineRule="auto"/>
        <w:ind w:left="0" w:right="0" w:firstLine="740"/>
        <w:jc w:val="both"/>
      </w:pPr>
      <w:r>
        <w:rPr>
          <w:color w:val="000000"/>
          <w:spacing w:val="0"/>
          <w:w w:val="100"/>
          <w:position w:val="0"/>
          <w:sz w:val="24"/>
          <w:szCs w:val="24"/>
          <w:shd w:val="clear" w:color="auto" w:fill="auto"/>
          <w:lang w:val="ru-RU" w:eastAsia="ru-RU" w:bidi="ru-RU"/>
        </w:rPr>
        <w:t>1) Заказчик не применил позицию КТРУ в отношении приобретаемого товара. При этом позиция КТРУ 26.51.66.190-00000023 обязательна для применения с 25.03.2024 года.</w:t>
      </w:r>
    </w:p>
    <w:p>
      <w:pPr>
        <w:pStyle w:val="Style10"/>
        <w:keepNext w:val="0"/>
        <w:keepLines w:val="0"/>
        <w:widowControl w:val="0"/>
        <w:shd w:val="clear" w:color="auto" w:fill="auto"/>
        <w:bidi w:val="0"/>
        <w:spacing w:before="0" w:after="0" w:line="240" w:lineRule="auto"/>
        <w:ind w:left="0" w:right="0" w:firstLine="740"/>
        <w:jc w:val="both"/>
      </w:pPr>
      <w:r>
        <w:rPr>
          <w:b/>
          <w:bCs/>
          <w:color w:val="000000"/>
          <w:spacing w:val="0"/>
          <w:w w:val="100"/>
          <w:position w:val="0"/>
          <w:sz w:val="24"/>
          <w:szCs w:val="24"/>
          <w:shd w:val="clear" w:color="auto" w:fill="auto"/>
          <w:lang w:val="ru-RU" w:eastAsia="ru-RU" w:bidi="ru-RU"/>
        </w:rPr>
        <w:t>В ходе рассмотрения доводов сторон Комиссией Управления установлено следующее.</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Относительно довода Комиссия Управления поясняет следующее.</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Согласно части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пункте 5 Правил использования Постановления Правительства РФ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Постановление Правительства РФ от 08.02.2017 ^ 145) указано, что заказчик вправе указать в плане закупок, плане-графике закупок, формах обоснования закупок,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ФЗ "О контрактной системе", которые не предусмотрены в позиции каталога.</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Согласно пункту 6 Правил использования Постановления Правительства РФ от 08.02.2017 ^ 145 в случае предоставления иной и дополнительной информации, предусмотренной пунктом 5 указанных Правил использования КТРУ,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10"/>
        <w:keepNext w:val="0"/>
        <w:keepLines w:val="0"/>
        <w:widowControl w:val="0"/>
        <w:shd w:val="clear" w:color="auto" w:fill="auto"/>
        <w:bidi w:val="0"/>
        <w:spacing w:before="0" w:after="240" w:line="240" w:lineRule="auto"/>
        <w:ind w:left="0" w:right="0" w:firstLine="600"/>
        <w:jc w:val="both"/>
      </w:pPr>
      <w:r>
        <w:rPr>
          <w:color w:val="000000"/>
          <w:spacing w:val="0"/>
          <w:w w:val="100"/>
          <w:position w:val="0"/>
          <w:sz w:val="24"/>
          <w:szCs w:val="24"/>
          <w:shd w:val="clear" w:color="auto" w:fill="auto"/>
          <w:lang w:val="ru-RU" w:eastAsia="ru-RU" w:bidi="ru-RU"/>
        </w:rPr>
        <w:t>Согласно описанию объекта извещения № 0187300006524000744 на поставку комплексов автоматической фотовидеофиксации информации установлена следующая дополнительная характеристика:</w:t>
      </w:r>
    </w:p>
    <w:tbl>
      <w:tblPr>
        <w:tblOverlap w:val="never"/>
        <w:jc w:val="center"/>
        <w:tblLayout w:type="fixed"/>
      </w:tblPr>
      <w:tblGrid>
        <w:gridCol w:w="552"/>
        <w:gridCol w:w="2170"/>
        <w:gridCol w:w="4632"/>
        <w:gridCol w:w="2040"/>
        <w:gridCol w:w="826"/>
      </w:tblGrid>
      <w:tr>
        <w:trPr>
          <w:trHeight w:val="936" w:hRule="exact"/>
        </w:trPr>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 п/п</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Наименование товара</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Технические характеристики</w:t>
            </w: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Значение параметра или наличие функции (функционала)</w:t>
            </w:r>
          </w:p>
        </w:tc>
        <w:tc>
          <w:tcPr>
            <w:tcBorders>
              <w:top w:val="single" w:sz="4"/>
              <w:left w:val="single" w:sz="4"/>
              <w:righ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Кол-во (шт.)</w:t>
            </w:r>
          </w:p>
        </w:tc>
      </w:tr>
      <w:tr>
        <w:trPr>
          <w:trHeight w:val="250" w:hRule="exact"/>
        </w:trPr>
        <w:tc>
          <w:tcPr>
            <w:tcBorders>
              <w:top w:val="single" w:sz="4"/>
              <w:left w:val="single" w:sz="4"/>
              <w:bottom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1</w:t>
            </w:r>
          </w:p>
        </w:tc>
        <w:tc>
          <w:tcPr>
            <w:tcBorders>
              <w:top w:val="single" w:sz="4"/>
              <w:left w:val="single" w:sz="4"/>
              <w:bottom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Комплекс</w:t>
            </w:r>
          </w:p>
        </w:tc>
        <w:tc>
          <w:tcPr>
            <w:tcBorders>
              <w:top w:val="single" w:sz="4"/>
              <w:left w:val="single" w:sz="4"/>
              <w:bottom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140"/>
              <w:jc w:val="left"/>
              <w:rPr>
                <w:sz w:val="20"/>
                <w:szCs w:val="20"/>
              </w:rPr>
            </w:pPr>
            <w:r>
              <w:rPr>
                <w:b/>
                <w:bCs/>
                <w:color w:val="000000"/>
                <w:spacing w:val="0"/>
                <w:w w:val="100"/>
                <w:position w:val="0"/>
                <w:sz w:val="20"/>
                <w:szCs w:val="20"/>
                <w:shd w:val="clear" w:color="auto" w:fill="auto"/>
                <w:lang w:val="ru-RU" w:eastAsia="ru-RU" w:bidi="ru-RU"/>
              </w:rPr>
              <w:t>Вычислительная подсистема</w:t>
            </w:r>
          </w:p>
        </w:tc>
        <w:tc>
          <w:tcPr>
            <w:tcBorders>
              <w:top w:val="single" w:sz="4"/>
              <w:left w:val="single" w:sz="4"/>
              <w:bottom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наличие</w:t>
            </w:r>
          </w:p>
        </w:tc>
        <w:tc>
          <w:tcPr>
            <w:tcBorders>
              <w:top w:val="single" w:sz="4"/>
              <w:left w:val="single" w:sz="4"/>
              <w:bottom w:val="single" w:sz="4"/>
              <w:righ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1</w:t>
            </w:r>
          </w:p>
        </w:tc>
      </w:tr>
    </w:tbl>
    <w:p>
      <w:pPr>
        <w:widowControl w:val="0"/>
        <w:spacing w:line="1" w:lineRule="exact"/>
      </w:pPr>
      <w:r>
        <w:br w:type="page"/>
      </w:r>
    </w:p>
    <w:tbl>
      <w:tblPr>
        <w:tblOverlap w:val="never"/>
        <w:jc w:val="center"/>
        <w:tblLayout w:type="fixed"/>
      </w:tblPr>
      <w:tblGrid>
        <w:gridCol w:w="552"/>
        <w:gridCol w:w="2170"/>
        <w:gridCol w:w="4632"/>
        <w:gridCol w:w="2040"/>
        <w:gridCol w:w="826"/>
      </w:tblGrid>
      <w:tr>
        <w:trPr>
          <w:trHeight w:val="245" w:hRule="exact"/>
        </w:trPr>
        <w:tc>
          <w:tcPr>
            <w:vMerge w:val="restart"/>
            <w:tcBorders>
              <w:top w:val="single" w:sz="4"/>
              <w:left w:val="single" w:sz="4"/>
            </w:tcBorders>
            <w:shd w:val="clear" w:color="auto" w:fill="auto"/>
            <w:vAlign w:val="top"/>
          </w:tcPr>
          <w:p>
            <w:pPr>
              <w:widowControl w:val="0"/>
              <w:rPr>
                <w:sz w:val="10"/>
                <w:szCs w:val="10"/>
              </w:rPr>
            </w:pPr>
          </w:p>
        </w:tc>
        <w:tc>
          <w:tcPr>
            <w:vMerge w:val="restart"/>
            <w:tcBorders>
              <w:top w:val="single" w:sz="4"/>
              <w:left w:val="single" w:sz="4"/>
            </w:tcBorders>
            <w:shd w:val="clear" w:color="auto" w:fill="auto"/>
            <w:vAlign w:val="top"/>
          </w:tcPr>
          <w:p>
            <w:pPr>
              <w:pStyle w:val="Style16"/>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программно</w:t>
              <w:softHyphen/>
              <w:t>аппаратный с фото и видеофиксацией «Дозор-М3»* (ФВФ) (мобильный комплекс)</w:t>
            </w: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Процессор, ГГц</w:t>
            </w: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2,2</w:t>
            </w:r>
          </w:p>
        </w:tc>
        <w:tc>
          <w:tcPr>
            <w:vMerge w:val="restart"/>
            <w:tcBorders>
              <w:top w:val="single" w:sz="4"/>
              <w:left w:val="single" w:sz="4"/>
              <w:right w:val="single" w:sz="4"/>
            </w:tcBorders>
            <w:shd w:val="clear" w:color="auto" w:fill="auto"/>
            <w:vAlign w:val="top"/>
          </w:tcPr>
          <w:p>
            <w:pPr>
              <w:widowControl w:val="0"/>
              <w:rPr>
                <w:sz w:val="10"/>
                <w:szCs w:val="10"/>
              </w:rPr>
            </w:pPr>
          </w:p>
        </w:tc>
      </w:tr>
      <w:tr>
        <w:trPr>
          <w:trHeight w:val="240"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Ядро, шт.</w:t>
            </w: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4</w:t>
            </w:r>
          </w:p>
        </w:tc>
        <w:tc>
          <w:tcPr>
            <w:vMerge/>
            <w:tcBorders>
              <w:left w:val="single" w:sz="4"/>
              <w:right w:val="single" w:sz="4"/>
            </w:tcBorders>
            <w:shd w:val="clear" w:color="auto" w:fill="auto"/>
            <w:vAlign w:val="top"/>
          </w:tcPr>
          <w:p>
            <w:pPr/>
          </w:p>
        </w:tc>
      </w:tr>
      <w:tr>
        <w:trPr>
          <w:trHeight w:val="240"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Оперативная память, ГБ</w:t>
            </w: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4</w:t>
            </w:r>
          </w:p>
        </w:tc>
        <w:tc>
          <w:tcPr>
            <w:vMerge/>
            <w:tcBorders>
              <w:left w:val="single" w:sz="4"/>
              <w:right w:val="single" w:sz="4"/>
            </w:tcBorders>
            <w:shd w:val="clear" w:color="auto" w:fill="auto"/>
            <w:vAlign w:val="top"/>
          </w:tcPr>
          <w:p>
            <w:pPr/>
          </w:p>
        </w:tc>
      </w:tr>
      <w:tr>
        <w:trPr>
          <w:trHeight w:val="245"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Накопитель, ГБ</w:t>
            </w: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960"/>
              <w:jc w:val="both"/>
              <w:rPr>
                <w:sz w:val="20"/>
                <w:szCs w:val="20"/>
              </w:rPr>
            </w:pPr>
            <w:r>
              <w:rPr>
                <w:color w:val="000000"/>
                <w:spacing w:val="0"/>
                <w:w w:val="100"/>
                <w:position w:val="0"/>
                <w:sz w:val="20"/>
                <w:szCs w:val="20"/>
                <w:shd w:val="clear" w:color="auto" w:fill="auto"/>
                <w:lang w:val="ru-RU" w:eastAsia="ru-RU" w:bidi="ru-RU"/>
              </w:rPr>
              <w:t>256</w:t>
            </w:r>
          </w:p>
        </w:tc>
        <w:tc>
          <w:tcPr>
            <w:vMerge/>
            <w:tcBorders>
              <w:left w:val="single" w:sz="4"/>
              <w:right w:val="single" w:sz="4"/>
            </w:tcBorders>
            <w:shd w:val="clear" w:color="auto" w:fill="auto"/>
            <w:vAlign w:val="top"/>
          </w:tcPr>
          <w:p>
            <w:pPr/>
          </w:p>
        </w:tc>
      </w:tr>
      <w:tr>
        <w:trPr>
          <w:trHeight w:val="245"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Подсистема ввода-вывода В8В 2.0, шт.</w:t>
            </w: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4</w:t>
            </w:r>
          </w:p>
        </w:tc>
        <w:tc>
          <w:tcPr>
            <w:vMerge/>
            <w:tcBorders>
              <w:left w:val="single" w:sz="4"/>
              <w:right w:val="single" w:sz="4"/>
            </w:tcBorders>
            <w:shd w:val="clear" w:color="auto" w:fill="auto"/>
            <w:vAlign w:val="top"/>
          </w:tcPr>
          <w:p>
            <w:pPr/>
          </w:p>
        </w:tc>
      </w:tr>
      <w:tr>
        <w:trPr>
          <w:trHeight w:val="240"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Подсистема ввода-вывода В8В 3.0, шт.</w:t>
            </w: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2</w:t>
            </w:r>
          </w:p>
        </w:tc>
        <w:tc>
          <w:tcPr>
            <w:vMerge/>
            <w:tcBorders>
              <w:left w:val="single" w:sz="4"/>
              <w:right w:val="single" w:sz="4"/>
            </w:tcBorders>
            <w:shd w:val="clear" w:color="auto" w:fill="auto"/>
            <w:vAlign w:val="top"/>
          </w:tcPr>
          <w:p>
            <w:pPr/>
          </w:p>
        </w:tc>
      </w:tr>
      <w:tr>
        <w:trPr>
          <w:trHeight w:val="235"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Сетевой интерфейс, Мбит/с</w:t>
            </w: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1000</w:t>
            </w:r>
          </w:p>
        </w:tc>
        <w:tc>
          <w:tcPr>
            <w:vMerge/>
            <w:tcBorders>
              <w:left w:val="single" w:sz="4"/>
              <w:right w:val="single" w:sz="4"/>
            </w:tcBorders>
            <w:shd w:val="clear" w:color="auto" w:fill="auto"/>
            <w:vAlign w:val="top"/>
          </w:tcPr>
          <w:p>
            <w:pPr/>
          </w:p>
        </w:tc>
      </w:tr>
      <w:tr>
        <w:trPr>
          <w:trHeight w:val="240"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Габаритные размеры длина, мм</w:t>
            </w: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280</w:t>
            </w:r>
          </w:p>
        </w:tc>
        <w:tc>
          <w:tcPr>
            <w:vMerge/>
            <w:tcBorders>
              <w:left w:val="single" w:sz="4"/>
              <w:right w:val="single" w:sz="4"/>
            </w:tcBorders>
            <w:shd w:val="clear" w:color="auto" w:fill="auto"/>
            <w:vAlign w:val="top"/>
          </w:tcPr>
          <w:p>
            <w:pPr/>
          </w:p>
        </w:tc>
      </w:tr>
      <w:tr>
        <w:trPr>
          <w:trHeight w:val="240"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Габаритные размеры ширина, мм</w:t>
            </w: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240</w:t>
            </w:r>
          </w:p>
        </w:tc>
        <w:tc>
          <w:tcPr>
            <w:vMerge/>
            <w:tcBorders>
              <w:left w:val="single" w:sz="4"/>
              <w:right w:val="single" w:sz="4"/>
            </w:tcBorders>
            <w:shd w:val="clear" w:color="auto" w:fill="auto"/>
            <w:vAlign w:val="top"/>
          </w:tcPr>
          <w:p>
            <w:pPr/>
          </w:p>
        </w:tc>
      </w:tr>
      <w:tr>
        <w:trPr>
          <w:trHeight w:val="240"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Габаритные размеры высота, мм</w:t>
            </w: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140</w:t>
            </w:r>
          </w:p>
        </w:tc>
        <w:tc>
          <w:tcPr>
            <w:vMerge/>
            <w:tcBorders>
              <w:left w:val="single" w:sz="4"/>
              <w:right w:val="single" w:sz="4"/>
            </w:tcBorders>
            <w:shd w:val="clear" w:color="auto" w:fill="auto"/>
            <w:vAlign w:val="top"/>
          </w:tcPr>
          <w:p>
            <w:pPr/>
          </w:p>
        </w:tc>
      </w:tr>
      <w:tr>
        <w:trPr>
          <w:trHeight w:val="245"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Потребляемая мощность, Вт</w:t>
            </w: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100</w:t>
            </w:r>
          </w:p>
        </w:tc>
        <w:tc>
          <w:tcPr>
            <w:vMerge/>
            <w:tcBorders>
              <w:left w:val="single" w:sz="4"/>
              <w:right w:val="single" w:sz="4"/>
            </w:tcBorders>
            <w:shd w:val="clear" w:color="auto" w:fill="auto"/>
            <w:vAlign w:val="top"/>
          </w:tcPr>
          <w:p>
            <w:pPr/>
          </w:p>
        </w:tc>
      </w:tr>
      <w:tr>
        <w:trPr>
          <w:trHeight w:val="240"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Напряжение питания комплекса, В</w:t>
            </w: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От 10,8 до 23</w:t>
            </w:r>
          </w:p>
        </w:tc>
        <w:tc>
          <w:tcPr>
            <w:vMerge/>
            <w:tcBorders>
              <w:left w:val="single" w:sz="4"/>
              <w:right w:val="single" w:sz="4"/>
            </w:tcBorders>
            <w:shd w:val="clear" w:color="auto" w:fill="auto"/>
            <w:vAlign w:val="top"/>
          </w:tcPr>
          <w:p>
            <w:pPr/>
          </w:p>
        </w:tc>
      </w:tr>
      <w:tr>
        <w:trPr>
          <w:trHeight w:val="240"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ru-RU" w:eastAsia="ru-RU" w:bidi="ru-RU"/>
              </w:rPr>
              <w:t>Монитор</w:t>
            </w: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наличие</w:t>
            </w:r>
          </w:p>
        </w:tc>
        <w:tc>
          <w:tcPr>
            <w:vMerge/>
            <w:tcBorders>
              <w:left w:val="single" w:sz="4"/>
              <w:right w:val="single" w:sz="4"/>
            </w:tcBorders>
            <w:shd w:val="clear" w:color="auto" w:fill="auto"/>
            <w:vAlign w:val="top"/>
          </w:tcPr>
          <w:p>
            <w:pPr/>
          </w:p>
        </w:tc>
      </w:tr>
      <w:tr>
        <w:trPr>
          <w:trHeight w:val="245"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Диагональ, дюйм - (25,4 мм)</w:t>
            </w: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8</w:t>
            </w:r>
          </w:p>
        </w:tc>
        <w:tc>
          <w:tcPr>
            <w:vMerge/>
            <w:tcBorders>
              <w:left w:val="single" w:sz="4"/>
              <w:right w:val="single" w:sz="4"/>
            </w:tcBorders>
            <w:shd w:val="clear" w:color="auto" w:fill="auto"/>
            <w:vAlign w:val="top"/>
          </w:tcPr>
          <w:p>
            <w:pPr/>
          </w:p>
        </w:tc>
      </w:tr>
      <w:tr>
        <w:trPr>
          <w:trHeight w:val="245"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Разрешение, пиксели</w:t>
            </w: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800 х 600</w:t>
            </w:r>
          </w:p>
        </w:tc>
        <w:tc>
          <w:tcPr>
            <w:vMerge/>
            <w:tcBorders>
              <w:left w:val="single" w:sz="4"/>
              <w:right w:val="single" w:sz="4"/>
            </w:tcBorders>
            <w:shd w:val="clear" w:color="auto" w:fill="auto"/>
            <w:vAlign w:val="top"/>
          </w:tcPr>
          <w:p>
            <w:pPr/>
          </w:p>
        </w:tc>
      </w:tr>
      <w:tr>
        <w:trPr>
          <w:trHeight w:val="240"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Яркость, кд/м2</w:t>
            </w: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250</w:t>
            </w:r>
          </w:p>
        </w:tc>
        <w:tc>
          <w:tcPr>
            <w:vMerge/>
            <w:tcBorders>
              <w:left w:val="single" w:sz="4"/>
              <w:right w:val="single" w:sz="4"/>
            </w:tcBorders>
            <w:shd w:val="clear" w:color="auto" w:fill="auto"/>
            <w:vAlign w:val="top"/>
          </w:tcPr>
          <w:p>
            <w:pPr/>
          </w:p>
        </w:tc>
      </w:tr>
      <w:tr>
        <w:trPr>
          <w:trHeight w:val="278"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Контрастность</w:t>
            </w: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500:1</w:t>
            </w:r>
          </w:p>
        </w:tc>
        <w:tc>
          <w:tcPr>
            <w:vMerge/>
            <w:tcBorders>
              <w:left w:val="single" w:sz="4"/>
              <w:right w:val="single" w:sz="4"/>
            </w:tcBorders>
            <w:shd w:val="clear" w:color="auto" w:fill="auto"/>
            <w:vAlign w:val="top"/>
          </w:tcPr>
          <w:p>
            <w:pPr/>
          </w:p>
        </w:tc>
      </w:tr>
      <w:tr>
        <w:trPr>
          <w:trHeight w:val="283"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Интерфейсы соединения</w:t>
            </w: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V6А/АV</w:t>
            </w:r>
          </w:p>
        </w:tc>
        <w:tc>
          <w:tcPr>
            <w:vMerge/>
            <w:tcBorders>
              <w:left w:val="single" w:sz="4"/>
              <w:right w:val="single" w:sz="4"/>
            </w:tcBorders>
            <w:shd w:val="clear" w:color="auto" w:fill="auto"/>
            <w:vAlign w:val="top"/>
          </w:tcPr>
          <w:p>
            <w:pPr/>
          </w:p>
        </w:tc>
      </w:tr>
      <w:tr>
        <w:trPr>
          <w:trHeight w:val="283"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Габаритные размеры длина, мм</w:t>
            </w: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275</w:t>
            </w:r>
          </w:p>
        </w:tc>
        <w:tc>
          <w:tcPr>
            <w:vMerge/>
            <w:tcBorders>
              <w:left w:val="single" w:sz="4"/>
              <w:right w:val="single" w:sz="4"/>
            </w:tcBorders>
            <w:shd w:val="clear" w:color="auto" w:fill="auto"/>
            <w:vAlign w:val="top"/>
          </w:tcPr>
          <w:p>
            <w:pPr/>
          </w:p>
        </w:tc>
      </w:tr>
      <w:tr>
        <w:trPr>
          <w:trHeight w:val="283"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Габаритные размеры ширина, мм</w:t>
            </w: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185</w:t>
            </w:r>
          </w:p>
        </w:tc>
        <w:tc>
          <w:tcPr>
            <w:vMerge/>
            <w:tcBorders>
              <w:left w:val="single" w:sz="4"/>
              <w:right w:val="single" w:sz="4"/>
            </w:tcBorders>
            <w:shd w:val="clear" w:color="auto" w:fill="auto"/>
            <w:vAlign w:val="top"/>
          </w:tcPr>
          <w:p>
            <w:pPr/>
          </w:p>
        </w:tc>
      </w:tr>
      <w:tr>
        <w:trPr>
          <w:trHeight w:val="278"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Габаритные размеры высота, мм</w:t>
            </w: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40</w:t>
            </w:r>
          </w:p>
        </w:tc>
        <w:tc>
          <w:tcPr>
            <w:vMerge/>
            <w:tcBorders>
              <w:left w:val="single" w:sz="4"/>
              <w:right w:val="single" w:sz="4"/>
            </w:tcBorders>
            <w:shd w:val="clear" w:color="auto" w:fill="auto"/>
            <w:vAlign w:val="top"/>
          </w:tcPr>
          <w:p>
            <w:pPr/>
          </w:p>
        </w:tc>
      </w:tr>
      <w:tr>
        <w:trPr>
          <w:trHeight w:val="240"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ru-RU" w:eastAsia="ru-RU" w:bidi="ru-RU"/>
              </w:rPr>
              <w:t>Приемник ГЛОНАСС/СР8</w:t>
            </w: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наличие</w:t>
            </w:r>
          </w:p>
        </w:tc>
        <w:tc>
          <w:tcPr>
            <w:vMerge/>
            <w:tcBorders>
              <w:left w:val="single" w:sz="4"/>
              <w:right w:val="single" w:sz="4"/>
            </w:tcBorders>
            <w:shd w:val="clear" w:color="auto" w:fill="auto"/>
            <w:vAlign w:val="top"/>
          </w:tcPr>
          <w:p>
            <w:pPr/>
          </w:p>
        </w:tc>
      </w:tr>
      <w:tr>
        <w:trPr>
          <w:trHeight w:val="864"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Диапазон частот</w:t>
            </w: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59" w:lineRule="auto"/>
              <w:ind w:left="0" w:right="0" w:firstLine="0"/>
              <w:jc w:val="center"/>
              <w:rPr>
                <w:sz w:val="20"/>
                <w:szCs w:val="20"/>
              </w:rPr>
            </w:pPr>
            <w:r>
              <w:rPr>
                <w:color w:val="000000"/>
                <w:spacing w:val="0"/>
                <w:w w:val="100"/>
                <w:position w:val="0"/>
                <w:sz w:val="20"/>
                <w:szCs w:val="20"/>
                <w:shd w:val="clear" w:color="auto" w:fill="auto"/>
                <w:lang w:val="ru-RU" w:eastAsia="ru-RU" w:bidi="ru-RU"/>
              </w:rPr>
              <w:t>1575,42 МГц (ОР8) 1597,5-1605,9 МГц (ГЛОНАСС)</w:t>
            </w:r>
          </w:p>
        </w:tc>
        <w:tc>
          <w:tcPr>
            <w:vMerge/>
            <w:tcBorders>
              <w:left w:val="single" w:sz="4"/>
              <w:right w:val="single" w:sz="4"/>
            </w:tcBorders>
            <w:shd w:val="clear" w:color="auto" w:fill="auto"/>
            <w:vAlign w:val="top"/>
          </w:tcPr>
          <w:p>
            <w:pPr/>
          </w:p>
        </w:tc>
      </w:tr>
      <w:tr>
        <w:trPr>
          <w:trHeight w:val="235"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Количество каналов сопровождения, шт</w:t>
            </w: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20</w:t>
            </w:r>
          </w:p>
        </w:tc>
        <w:tc>
          <w:tcPr>
            <w:vMerge/>
            <w:tcBorders>
              <w:left w:val="single" w:sz="4"/>
              <w:right w:val="single" w:sz="4"/>
            </w:tcBorders>
            <w:shd w:val="clear" w:color="auto" w:fill="auto"/>
            <w:vAlign w:val="top"/>
          </w:tcPr>
          <w:p>
            <w:pPr/>
          </w:p>
        </w:tc>
      </w:tr>
      <w:tr>
        <w:trPr>
          <w:trHeight w:val="288"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Потребляемая мощность, Вт</w:t>
            </w: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2,5</w:t>
            </w:r>
          </w:p>
        </w:tc>
        <w:tc>
          <w:tcPr>
            <w:vMerge/>
            <w:tcBorders>
              <w:left w:val="single" w:sz="4"/>
              <w:right w:val="single" w:sz="4"/>
            </w:tcBorders>
            <w:shd w:val="clear" w:color="auto" w:fill="auto"/>
            <w:vAlign w:val="top"/>
          </w:tcPr>
          <w:p>
            <w:pPr/>
          </w:p>
        </w:tc>
      </w:tr>
      <w:tr>
        <w:trPr>
          <w:trHeight w:val="235"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ru-RU" w:eastAsia="ru-RU" w:bidi="ru-RU"/>
              </w:rPr>
              <w:t>Камера, шт</w:t>
            </w: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2</w:t>
            </w:r>
          </w:p>
        </w:tc>
        <w:tc>
          <w:tcPr>
            <w:vMerge/>
            <w:tcBorders>
              <w:left w:val="single" w:sz="4"/>
              <w:right w:val="single" w:sz="4"/>
            </w:tcBorders>
            <w:shd w:val="clear" w:color="auto" w:fill="auto"/>
            <w:vAlign w:val="top"/>
          </w:tcPr>
          <w:p>
            <w:pPr/>
          </w:p>
        </w:tc>
      </w:tr>
      <w:tr>
        <w:trPr>
          <w:trHeight w:val="240"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Сенсор</w:t>
            </w: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1МХ249</w:t>
            </w:r>
          </w:p>
        </w:tc>
        <w:tc>
          <w:tcPr>
            <w:vMerge/>
            <w:tcBorders>
              <w:left w:val="single" w:sz="4"/>
              <w:right w:val="single" w:sz="4"/>
            </w:tcBorders>
            <w:shd w:val="clear" w:color="auto" w:fill="auto"/>
            <w:vAlign w:val="top"/>
          </w:tcPr>
          <w:p>
            <w:pPr/>
          </w:p>
        </w:tc>
      </w:tr>
      <w:tr>
        <w:trPr>
          <w:trHeight w:val="240"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Разрешение, пикселей</w:t>
            </w: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1920 х 1200</w:t>
            </w:r>
          </w:p>
        </w:tc>
        <w:tc>
          <w:tcPr>
            <w:vMerge/>
            <w:tcBorders>
              <w:left w:val="single" w:sz="4"/>
              <w:right w:val="single" w:sz="4"/>
            </w:tcBorders>
            <w:shd w:val="clear" w:color="auto" w:fill="auto"/>
            <w:vAlign w:val="top"/>
          </w:tcPr>
          <w:p>
            <w:pPr/>
          </w:p>
        </w:tc>
      </w:tr>
      <w:tr>
        <w:trPr>
          <w:trHeight w:val="514"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76" w:lineRule="auto"/>
              <w:ind w:left="0" w:right="0" w:firstLine="0"/>
              <w:jc w:val="left"/>
              <w:rPr>
                <w:sz w:val="20"/>
                <w:szCs w:val="20"/>
              </w:rPr>
            </w:pPr>
            <w:r>
              <w:rPr>
                <w:color w:val="000000"/>
                <w:spacing w:val="0"/>
                <w:w w:val="100"/>
                <w:position w:val="0"/>
                <w:sz w:val="20"/>
                <w:szCs w:val="20"/>
                <w:shd w:val="clear" w:color="auto" w:fill="auto"/>
                <w:lang w:val="ru-RU" w:eastAsia="ru-RU" w:bidi="ru-RU"/>
              </w:rPr>
              <w:t>Объектив камеры распознавания фокусное расстояние, мм</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12</w:t>
            </w:r>
          </w:p>
        </w:tc>
        <w:tc>
          <w:tcPr>
            <w:vMerge/>
            <w:tcBorders>
              <w:left w:val="single" w:sz="4"/>
              <w:right w:val="single" w:sz="4"/>
            </w:tcBorders>
            <w:shd w:val="clear" w:color="auto" w:fill="auto"/>
            <w:vAlign w:val="top"/>
          </w:tcPr>
          <w:p>
            <w:pPr/>
          </w:p>
        </w:tc>
      </w:tr>
      <w:tr>
        <w:trPr>
          <w:trHeight w:val="278"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Габаритные размеры длина, мм</w:t>
            </w: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130</w:t>
            </w:r>
          </w:p>
        </w:tc>
        <w:tc>
          <w:tcPr>
            <w:vMerge/>
            <w:tcBorders>
              <w:left w:val="single" w:sz="4"/>
              <w:right w:val="single" w:sz="4"/>
            </w:tcBorders>
            <w:shd w:val="clear" w:color="auto" w:fill="auto"/>
            <w:vAlign w:val="top"/>
          </w:tcPr>
          <w:p>
            <w:pPr/>
          </w:p>
        </w:tc>
      </w:tr>
      <w:tr>
        <w:trPr>
          <w:trHeight w:val="283"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Габаритные размеры ширина, мм</w:t>
            </w: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60</w:t>
            </w:r>
          </w:p>
        </w:tc>
        <w:tc>
          <w:tcPr>
            <w:vMerge/>
            <w:tcBorders>
              <w:left w:val="single" w:sz="4"/>
              <w:right w:val="single" w:sz="4"/>
            </w:tcBorders>
            <w:shd w:val="clear" w:color="auto" w:fill="auto"/>
            <w:vAlign w:val="top"/>
          </w:tcPr>
          <w:p>
            <w:pPr/>
          </w:p>
        </w:tc>
      </w:tr>
      <w:tr>
        <w:trPr>
          <w:trHeight w:val="283"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Габаритные размеры высота, мм</w:t>
            </w: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80</w:t>
            </w:r>
          </w:p>
        </w:tc>
        <w:tc>
          <w:tcPr>
            <w:vMerge/>
            <w:tcBorders>
              <w:left w:val="single" w:sz="4"/>
              <w:right w:val="single" w:sz="4"/>
            </w:tcBorders>
            <w:shd w:val="clear" w:color="auto" w:fill="auto"/>
            <w:vAlign w:val="top"/>
          </w:tcPr>
          <w:p>
            <w:pPr/>
          </w:p>
        </w:tc>
      </w:tr>
      <w:tr>
        <w:trPr>
          <w:trHeight w:val="245"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ru-RU" w:eastAsia="ru-RU" w:bidi="ru-RU"/>
              </w:rPr>
              <w:t>Технические характеристики комплекса</w:t>
            </w:r>
          </w:p>
        </w:tc>
        <w:tc>
          <w:tcPr>
            <w:tcBorders>
              <w:top w:val="single" w:sz="4"/>
              <w:left w:val="single" w:sz="4"/>
            </w:tcBorders>
            <w:shd w:val="clear" w:color="auto" w:fill="auto"/>
            <w:vAlign w:val="top"/>
          </w:tcPr>
          <w:p>
            <w:pPr>
              <w:widowControl w:val="0"/>
              <w:rPr>
                <w:sz w:val="10"/>
                <w:szCs w:val="10"/>
              </w:rPr>
            </w:pPr>
          </w:p>
        </w:tc>
        <w:tc>
          <w:tcPr>
            <w:vMerge/>
            <w:tcBorders>
              <w:left w:val="single" w:sz="4"/>
              <w:right w:val="single" w:sz="4"/>
            </w:tcBorders>
            <w:shd w:val="clear" w:color="auto" w:fill="auto"/>
            <w:vAlign w:val="top"/>
          </w:tcPr>
          <w:p>
            <w:pPr/>
          </w:p>
        </w:tc>
      </w:tr>
      <w:tr>
        <w:trPr>
          <w:trHeight w:val="278"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Погрешность определения времени, с</w:t>
            </w: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±2</w:t>
            </w:r>
          </w:p>
        </w:tc>
        <w:tc>
          <w:tcPr>
            <w:vMerge/>
            <w:tcBorders>
              <w:left w:val="single" w:sz="4"/>
              <w:right w:val="single" w:sz="4"/>
            </w:tcBorders>
            <w:shd w:val="clear" w:color="auto" w:fill="auto"/>
            <w:vAlign w:val="top"/>
          </w:tcPr>
          <w:p>
            <w:pPr/>
          </w:p>
        </w:tc>
      </w:tr>
      <w:tr>
        <w:trPr>
          <w:trHeight w:val="283"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Погрешность определения координат, м</w:t>
            </w: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±5</w:t>
            </w:r>
          </w:p>
        </w:tc>
        <w:tc>
          <w:tcPr>
            <w:vMerge/>
            <w:tcBorders>
              <w:left w:val="single" w:sz="4"/>
              <w:right w:val="single" w:sz="4"/>
            </w:tcBorders>
            <w:shd w:val="clear" w:color="auto" w:fill="auto"/>
            <w:vAlign w:val="top"/>
          </w:tcPr>
          <w:p>
            <w:pPr/>
          </w:p>
        </w:tc>
      </w:tr>
      <w:tr>
        <w:trPr>
          <w:trHeight w:val="317"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Рабочие условия применения, °С</w:t>
            </w: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от +5 до +40</w:t>
            </w:r>
          </w:p>
        </w:tc>
        <w:tc>
          <w:tcPr>
            <w:vMerge/>
            <w:tcBorders>
              <w:left w:val="single" w:sz="4"/>
              <w:right w:val="single" w:sz="4"/>
            </w:tcBorders>
            <w:shd w:val="clear" w:color="auto" w:fill="auto"/>
            <w:vAlign w:val="top"/>
          </w:tcPr>
          <w:p>
            <w:pPr/>
          </w:p>
        </w:tc>
      </w:tr>
      <w:tr>
        <w:trPr>
          <w:trHeight w:val="240"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Масса, кг</w:t>
            </w: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8</w:t>
            </w:r>
          </w:p>
        </w:tc>
        <w:tc>
          <w:tcPr>
            <w:vMerge/>
            <w:tcBorders>
              <w:left w:val="single" w:sz="4"/>
              <w:right w:val="single" w:sz="4"/>
            </w:tcBorders>
            <w:shd w:val="clear" w:color="auto" w:fill="auto"/>
            <w:vAlign w:val="top"/>
          </w:tcPr>
          <w:p>
            <w:pPr/>
          </w:p>
        </w:tc>
      </w:tr>
      <w:tr>
        <w:trPr>
          <w:trHeight w:val="1032"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76" w:lineRule="auto"/>
              <w:ind w:left="0" w:right="0" w:firstLine="0"/>
              <w:jc w:val="left"/>
              <w:rPr>
                <w:sz w:val="20"/>
                <w:szCs w:val="20"/>
              </w:rPr>
            </w:pPr>
            <w:r>
              <w:rPr>
                <w:color w:val="000000"/>
                <w:spacing w:val="0"/>
                <w:w w:val="100"/>
                <w:position w:val="0"/>
                <w:sz w:val="20"/>
                <w:szCs w:val="20"/>
                <w:shd w:val="clear" w:color="auto" w:fill="auto"/>
                <w:lang w:val="ru-RU" w:eastAsia="ru-RU" w:bidi="ru-RU"/>
              </w:rPr>
              <w:t>Визуальное отслеживание водителем патрульного автомобиля качества работы прибора во время движения автомобиля через сенсорный монитор</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наличие</w:t>
            </w:r>
          </w:p>
        </w:tc>
        <w:tc>
          <w:tcPr>
            <w:vMerge/>
            <w:tcBorders>
              <w:left w:val="single" w:sz="4"/>
              <w:right w:val="single" w:sz="4"/>
            </w:tcBorders>
            <w:shd w:val="clear" w:color="auto" w:fill="auto"/>
            <w:vAlign w:val="top"/>
          </w:tcPr>
          <w:p>
            <w:pPr/>
          </w:p>
        </w:tc>
      </w:tr>
      <w:tr>
        <w:trPr>
          <w:trHeight w:val="509"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76" w:lineRule="auto"/>
              <w:ind w:left="0" w:right="0" w:firstLine="0"/>
              <w:jc w:val="left"/>
              <w:rPr>
                <w:sz w:val="20"/>
                <w:szCs w:val="20"/>
              </w:rPr>
            </w:pPr>
            <w:r>
              <w:rPr>
                <w:color w:val="000000"/>
                <w:spacing w:val="0"/>
                <w:w w:val="100"/>
                <w:position w:val="0"/>
                <w:sz w:val="20"/>
                <w:szCs w:val="20"/>
                <w:shd w:val="clear" w:color="auto" w:fill="auto"/>
                <w:lang w:val="ru-RU" w:eastAsia="ru-RU" w:bidi="ru-RU"/>
              </w:rPr>
              <w:t>Возможность автоматической проверки вхождения в зону</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наличие</w:t>
            </w:r>
          </w:p>
        </w:tc>
        <w:tc>
          <w:tcPr>
            <w:vMerge/>
            <w:tcBorders>
              <w:left w:val="single" w:sz="4"/>
              <w:right w:val="single" w:sz="4"/>
            </w:tcBorders>
            <w:shd w:val="clear" w:color="auto" w:fill="auto"/>
            <w:vAlign w:val="top"/>
          </w:tcPr>
          <w:p>
            <w:pPr/>
          </w:p>
        </w:tc>
      </w:tr>
      <w:tr>
        <w:trPr>
          <w:trHeight w:val="1392"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Одновременная фиксация нарушений левой и правой стороны проезжей части (парковки) в соответствии с настройками зоны (например, возможность фиксировать постановку ТС непараллельно краю проезжей части или во втором ряду на проезжей части);</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наличие</w:t>
            </w:r>
          </w:p>
        </w:tc>
        <w:tc>
          <w:tcPr>
            <w:vMerge/>
            <w:tcBorders>
              <w:left w:val="single" w:sz="4"/>
              <w:right w:val="single" w:sz="4"/>
            </w:tcBorders>
            <w:shd w:val="clear" w:color="auto" w:fill="auto"/>
            <w:vAlign w:val="top"/>
          </w:tcPr>
          <w:p>
            <w:pPr/>
          </w:p>
        </w:tc>
      </w:tr>
      <w:tr>
        <w:trPr>
          <w:trHeight w:val="941"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Возможность одновременной работы по нарушениям парковки (припаркованные автомобили) и по розыску (встречный и попутный поток и припаркованные автомобили);</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наличие</w:t>
            </w:r>
          </w:p>
        </w:tc>
        <w:tc>
          <w:tcPr>
            <w:vMerge/>
            <w:tcBorders>
              <w:left w:val="single" w:sz="4"/>
              <w:right w:val="single" w:sz="4"/>
            </w:tcBorders>
            <w:shd w:val="clear" w:color="auto" w:fill="auto"/>
            <w:vAlign w:val="top"/>
          </w:tcPr>
          <w:p>
            <w:pPr/>
          </w:p>
        </w:tc>
      </w:tr>
      <w:tr>
        <w:trPr>
          <w:trHeight w:val="245" w:hRule="exact"/>
        </w:trPr>
        <w:tc>
          <w:tcPr>
            <w:vMerge/>
            <w:tcBorders>
              <w:left w:val="single" w:sz="4"/>
              <w:bottom w:val="single" w:sz="4"/>
            </w:tcBorders>
            <w:shd w:val="clear" w:color="auto" w:fill="auto"/>
            <w:vAlign w:val="top"/>
          </w:tcPr>
          <w:p>
            <w:pPr/>
          </w:p>
        </w:tc>
        <w:tc>
          <w:tcPr>
            <w:vMerge/>
            <w:tcBorders>
              <w:left w:val="single" w:sz="4"/>
              <w:bottom w:val="single" w:sz="4"/>
            </w:tcBorders>
            <w:shd w:val="clear" w:color="auto" w:fill="auto"/>
            <w:vAlign w:val="top"/>
          </w:tcPr>
          <w:p>
            <w:pPr/>
          </w:p>
        </w:tc>
        <w:tc>
          <w:tcPr>
            <w:tcBorders>
              <w:top w:val="single" w:sz="4"/>
              <w:left w:val="single" w:sz="4"/>
              <w:bottom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Интеграция с веб-сервисом «Дупло 2» для</w:t>
            </w:r>
          </w:p>
        </w:tc>
        <w:tc>
          <w:tcPr>
            <w:tcBorders>
              <w:top w:val="single" w:sz="4"/>
              <w:left w:val="single" w:sz="4"/>
              <w:bottom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наличие</w:t>
            </w:r>
          </w:p>
        </w:tc>
        <w:tc>
          <w:tcPr>
            <w:vMerge/>
            <w:tcBorders>
              <w:left w:val="single" w:sz="4"/>
              <w:bottom w:val="single" w:sz="4"/>
              <w:right w:val="single" w:sz="4"/>
            </w:tcBorders>
            <w:shd w:val="clear" w:color="auto" w:fill="auto"/>
            <w:vAlign w:val="top"/>
          </w:tcPr>
          <w:p>
            <w:pPr/>
          </w:p>
        </w:tc>
      </w:tr>
    </w:tbl>
    <w:p>
      <w:pPr>
        <w:widowControl w:val="0"/>
        <w:spacing w:line="1" w:lineRule="exact"/>
      </w:pPr>
      <w:r>
        <w:br w:type="page"/>
      </w:r>
    </w:p>
    <w:tbl>
      <w:tblPr>
        <w:tblOverlap w:val="never"/>
        <w:jc w:val="center"/>
        <w:tblLayout w:type="fixed"/>
      </w:tblPr>
      <w:tblGrid>
        <w:gridCol w:w="552"/>
        <w:gridCol w:w="2170"/>
        <w:gridCol w:w="4632"/>
        <w:gridCol w:w="2040"/>
        <w:gridCol w:w="826"/>
      </w:tblGrid>
      <w:tr>
        <w:trPr>
          <w:trHeight w:val="1166" w:hRule="exact"/>
        </w:trPr>
        <w:tc>
          <w:tcPr>
            <w:vMerge w:val="restart"/>
            <w:tcBorders>
              <w:top w:val="single" w:sz="4"/>
              <w:left w:val="single" w:sz="4"/>
            </w:tcBorders>
            <w:shd w:val="clear" w:color="auto" w:fill="auto"/>
            <w:vAlign w:val="top"/>
          </w:tcPr>
          <w:p>
            <w:pPr>
              <w:widowControl w:val="0"/>
              <w:rPr>
                <w:sz w:val="10"/>
                <w:szCs w:val="10"/>
              </w:rPr>
            </w:pPr>
          </w:p>
        </w:tc>
        <w:tc>
          <w:tcPr>
            <w:vMerge w:val="restart"/>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выгрузки информации о зафиксированных нарушениях ПДД в СПО «Паутина» без использования промежуточных (дополнительных) программно-аппаратных средств (серверов, персональных компьютеров и т.п.);</w:t>
            </w:r>
          </w:p>
        </w:tc>
        <w:tc>
          <w:tcPr>
            <w:tcBorders>
              <w:top w:val="single" w:sz="4"/>
              <w:left w:val="single" w:sz="4"/>
            </w:tcBorders>
            <w:shd w:val="clear" w:color="auto" w:fill="auto"/>
            <w:vAlign w:val="top"/>
          </w:tcPr>
          <w:p>
            <w:pPr>
              <w:widowControl w:val="0"/>
              <w:rPr>
                <w:sz w:val="10"/>
                <w:szCs w:val="10"/>
              </w:rPr>
            </w:pPr>
          </w:p>
        </w:tc>
        <w:tc>
          <w:tcPr>
            <w:vMerge w:val="restart"/>
            <w:tcBorders>
              <w:top w:val="single" w:sz="4"/>
              <w:left w:val="single" w:sz="4"/>
              <w:right w:val="single" w:sz="4"/>
            </w:tcBorders>
            <w:shd w:val="clear" w:color="auto" w:fill="auto"/>
            <w:vAlign w:val="top"/>
          </w:tcPr>
          <w:p>
            <w:pPr>
              <w:widowControl w:val="0"/>
              <w:rPr>
                <w:sz w:val="10"/>
                <w:szCs w:val="10"/>
              </w:rPr>
            </w:pPr>
          </w:p>
        </w:tc>
      </w:tr>
      <w:tr>
        <w:trPr>
          <w:trHeight w:val="480"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Возможность загрузки и работы с оперативными базами данных в целях розыска ТС;</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наличие</w:t>
            </w:r>
          </w:p>
        </w:tc>
        <w:tc>
          <w:tcPr>
            <w:vMerge/>
            <w:tcBorders>
              <w:left w:val="single" w:sz="4"/>
              <w:right w:val="single" w:sz="4"/>
            </w:tcBorders>
            <w:shd w:val="clear" w:color="auto" w:fill="auto"/>
            <w:vAlign w:val="top"/>
          </w:tcPr>
          <w:p>
            <w:pPr/>
          </w:p>
        </w:tc>
      </w:tr>
      <w:tr>
        <w:trPr>
          <w:trHeight w:val="696"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Наличие мобильной платформы для оперативного переноса прибора с одного патрульного автомобиля на другой;</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наличие</w:t>
            </w:r>
          </w:p>
        </w:tc>
        <w:tc>
          <w:tcPr>
            <w:vMerge/>
            <w:tcBorders>
              <w:left w:val="single" w:sz="4"/>
              <w:right w:val="single" w:sz="4"/>
            </w:tcBorders>
            <w:shd w:val="clear" w:color="auto" w:fill="auto"/>
            <w:vAlign w:val="top"/>
          </w:tcPr>
          <w:p>
            <w:pPr/>
          </w:p>
        </w:tc>
      </w:tr>
      <w:tr>
        <w:trPr>
          <w:trHeight w:val="2088"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Возможность передачи данных о нарушениях в ПК, установленный у заказчика, в режиме реального времени (во время движения патрульного автомобиля) через доступные каналы связи (36/46, \У|-Н), в том числе защищенные, а также хранение резервной копии отправленных данных на комплексе в течение заданного интервала времени и их восстановление в случае сбоя серверного узла;</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наличие</w:t>
            </w:r>
          </w:p>
        </w:tc>
        <w:tc>
          <w:tcPr>
            <w:vMerge/>
            <w:tcBorders>
              <w:left w:val="single" w:sz="4"/>
              <w:right w:val="single" w:sz="4"/>
            </w:tcBorders>
            <w:shd w:val="clear" w:color="auto" w:fill="auto"/>
            <w:vAlign w:val="top"/>
          </w:tcPr>
          <w:p>
            <w:pPr/>
          </w:p>
        </w:tc>
      </w:tr>
      <w:tr>
        <w:trPr>
          <w:trHeight w:val="480"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Возможность выгрузки информации о нарушениях на внешний накопитель;</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наличие</w:t>
            </w:r>
          </w:p>
        </w:tc>
        <w:tc>
          <w:tcPr>
            <w:vMerge/>
            <w:tcBorders>
              <w:left w:val="single" w:sz="4"/>
              <w:right w:val="single" w:sz="4"/>
            </w:tcBorders>
            <w:shd w:val="clear" w:color="auto" w:fill="auto"/>
            <w:vAlign w:val="top"/>
          </w:tcPr>
          <w:p>
            <w:pPr/>
          </w:p>
        </w:tc>
      </w:tr>
      <w:tr>
        <w:trPr>
          <w:trHeight w:val="466"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Возможность автоматического обновления зон контроля с сервера;</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наличие</w:t>
            </w:r>
          </w:p>
        </w:tc>
        <w:tc>
          <w:tcPr>
            <w:vMerge/>
            <w:tcBorders>
              <w:left w:val="single" w:sz="4"/>
              <w:right w:val="single" w:sz="4"/>
            </w:tcBorders>
            <w:shd w:val="clear" w:color="auto" w:fill="auto"/>
            <w:vAlign w:val="top"/>
          </w:tcPr>
          <w:p>
            <w:pPr/>
          </w:p>
        </w:tc>
      </w:tr>
      <w:tr>
        <w:trPr>
          <w:trHeight w:val="706"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Возможность удаленного обновления программного обеспечения, входящего в состав комплекса;</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наличие</w:t>
            </w:r>
          </w:p>
        </w:tc>
        <w:tc>
          <w:tcPr>
            <w:vMerge/>
            <w:tcBorders>
              <w:left w:val="single" w:sz="4"/>
              <w:right w:val="single" w:sz="4"/>
            </w:tcBorders>
            <w:shd w:val="clear" w:color="auto" w:fill="auto"/>
            <w:vAlign w:val="top"/>
          </w:tcPr>
          <w:p>
            <w:pPr/>
          </w:p>
        </w:tc>
      </w:tr>
      <w:tr>
        <w:trPr>
          <w:trHeight w:val="245"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Встроенный модуль распознавания ГРЗ;</w:t>
            </w: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наличие</w:t>
            </w:r>
          </w:p>
        </w:tc>
        <w:tc>
          <w:tcPr>
            <w:vMerge/>
            <w:tcBorders>
              <w:left w:val="single" w:sz="4"/>
              <w:right w:val="single" w:sz="4"/>
            </w:tcBorders>
            <w:shd w:val="clear" w:color="auto" w:fill="auto"/>
            <w:vAlign w:val="top"/>
          </w:tcPr>
          <w:p>
            <w:pPr/>
          </w:p>
        </w:tc>
      </w:tr>
      <w:tr>
        <w:trPr>
          <w:trHeight w:val="240"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Система внутреннего мониторинга комплекса;</w:t>
            </w: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наличие</w:t>
            </w:r>
          </w:p>
        </w:tc>
        <w:tc>
          <w:tcPr>
            <w:vMerge/>
            <w:tcBorders>
              <w:left w:val="single" w:sz="4"/>
              <w:right w:val="single" w:sz="4"/>
            </w:tcBorders>
            <w:shd w:val="clear" w:color="auto" w:fill="auto"/>
            <w:vAlign w:val="top"/>
          </w:tcPr>
          <w:p>
            <w:pPr/>
          </w:p>
        </w:tc>
      </w:tr>
      <w:tr>
        <w:trPr>
          <w:trHeight w:val="926"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Возможность формирования обзорного снимка местности и его печати на постановлении для визуального определения места фиксации нарушения;</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наличие</w:t>
            </w:r>
          </w:p>
        </w:tc>
        <w:tc>
          <w:tcPr>
            <w:vMerge/>
            <w:tcBorders>
              <w:left w:val="single" w:sz="4"/>
              <w:right w:val="single" w:sz="4"/>
            </w:tcBorders>
            <w:shd w:val="clear" w:color="auto" w:fill="auto"/>
            <w:vAlign w:val="top"/>
          </w:tcPr>
          <w:p>
            <w:pPr/>
          </w:p>
        </w:tc>
      </w:tr>
      <w:tr>
        <w:trPr>
          <w:trHeight w:val="706"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Встроенный источник бесперебойного питания, реагирующий на изменение питания в сети и окружающую температуру;</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наличие</w:t>
            </w:r>
          </w:p>
        </w:tc>
        <w:tc>
          <w:tcPr>
            <w:vMerge/>
            <w:tcBorders>
              <w:left w:val="single" w:sz="4"/>
              <w:right w:val="single" w:sz="4"/>
            </w:tcBorders>
            <w:shd w:val="clear" w:color="auto" w:fill="auto"/>
            <w:vAlign w:val="top"/>
          </w:tcPr>
          <w:p>
            <w:pPr/>
          </w:p>
        </w:tc>
      </w:tr>
      <w:tr>
        <w:trPr>
          <w:trHeight w:val="240"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Защитный ударопрочный кейс;</w:t>
            </w: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наличие</w:t>
            </w:r>
          </w:p>
        </w:tc>
        <w:tc>
          <w:tcPr>
            <w:vMerge/>
            <w:tcBorders>
              <w:left w:val="single" w:sz="4"/>
              <w:right w:val="single" w:sz="4"/>
            </w:tcBorders>
            <w:shd w:val="clear" w:color="auto" w:fill="auto"/>
            <w:vAlign w:val="top"/>
          </w:tcPr>
          <w:p>
            <w:pPr/>
          </w:p>
        </w:tc>
      </w:tr>
      <w:tr>
        <w:trPr>
          <w:trHeight w:val="706"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Возможность корректного завершения работы комплекса при аварийном отключении бортовой сети автомобиля;</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наличие</w:t>
            </w:r>
          </w:p>
        </w:tc>
        <w:tc>
          <w:tcPr>
            <w:vMerge/>
            <w:tcBorders>
              <w:left w:val="single" w:sz="4"/>
              <w:right w:val="single" w:sz="4"/>
            </w:tcBorders>
            <w:shd w:val="clear" w:color="auto" w:fill="auto"/>
            <w:vAlign w:val="top"/>
          </w:tcPr>
          <w:p>
            <w:pPr/>
          </w:p>
        </w:tc>
      </w:tr>
      <w:tr>
        <w:trPr>
          <w:trHeight w:val="470"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Возможность фиксации нарушений одновременно на двух сторонах дороги;</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наличие</w:t>
            </w:r>
          </w:p>
        </w:tc>
        <w:tc>
          <w:tcPr>
            <w:vMerge/>
            <w:tcBorders>
              <w:left w:val="single" w:sz="4"/>
              <w:right w:val="single" w:sz="4"/>
            </w:tcBorders>
            <w:shd w:val="clear" w:color="auto" w:fill="auto"/>
            <w:vAlign w:val="top"/>
          </w:tcPr>
          <w:p>
            <w:pPr/>
          </w:p>
        </w:tc>
      </w:tr>
      <w:tr>
        <w:trPr>
          <w:trHeight w:val="701"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Возможность восстановления комплекса до заводских параметров при критических сбоях встроенного программного обеспечения;</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наличие</w:t>
            </w:r>
          </w:p>
        </w:tc>
        <w:tc>
          <w:tcPr>
            <w:vMerge/>
            <w:tcBorders>
              <w:left w:val="single" w:sz="4"/>
              <w:right w:val="single" w:sz="4"/>
            </w:tcBorders>
            <w:shd w:val="clear" w:color="auto" w:fill="auto"/>
            <w:vAlign w:val="top"/>
          </w:tcPr>
          <w:p>
            <w:pPr/>
          </w:p>
        </w:tc>
      </w:tr>
      <w:tr>
        <w:trPr>
          <w:trHeight w:val="941"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Встроенный механизм автоматической регулировки чувствительности камер в зависимости от времени суток и погодных условий, в т. ч. в ночное время;</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наличие</w:t>
            </w:r>
          </w:p>
        </w:tc>
        <w:tc>
          <w:tcPr>
            <w:vMerge/>
            <w:tcBorders>
              <w:left w:val="single" w:sz="4"/>
              <w:right w:val="single" w:sz="4"/>
            </w:tcBorders>
            <w:shd w:val="clear" w:color="auto" w:fill="auto"/>
            <w:vAlign w:val="top"/>
          </w:tcPr>
          <w:p>
            <w:pPr/>
          </w:p>
        </w:tc>
      </w:tr>
      <w:tr>
        <w:trPr>
          <w:trHeight w:val="926"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Специальное приложение для отслеживания КФВФ на карте в режиме реального времени для осуществления дополнительного контроля за работой операторов.</w:t>
            </w:r>
          </w:p>
        </w:tc>
        <w:tc>
          <w:tcPr>
            <w:tcBorders>
              <w:top w:val="single" w:sz="4"/>
              <w:left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наличие</w:t>
            </w:r>
          </w:p>
        </w:tc>
        <w:tc>
          <w:tcPr>
            <w:vMerge/>
            <w:tcBorders>
              <w:left w:val="single" w:sz="4"/>
              <w:right w:val="single" w:sz="4"/>
            </w:tcBorders>
            <w:shd w:val="clear" w:color="auto" w:fill="auto"/>
            <w:vAlign w:val="top"/>
          </w:tcPr>
          <w:p>
            <w:pPr/>
          </w:p>
        </w:tc>
      </w:tr>
      <w:tr>
        <w:trPr>
          <w:trHeight w:val="2102" w:hRule="exact"/>
        </w:trPr>
        <w:tc>
          <w:tcPr>
            <w:vMerge/>
            <w:tcBorders>
              <w:left w:val="single" w:sz="4"/>
              <w:bottom w:val="single" w:sz="4"/>
            </w:tcBorders>
            <w:shd w:val="clear" w:color="auto" w:fill="auto"/>
            <w:vAlign w:val="top"/>
          </w:tcPr>
          <w:p>
            <w:pPr/>
          </w:p>
        </w:tc>
        <w:tc>
          <w:tcPr>
            <w:vMerge/>
            <w:tcBorders>
              <w:left w:val="single" w:sz="4"/>
              <w:bottom w:val="single" w:sz="4"/>
            </w:tcBorders>
            <w:shd w:val="clear" w:color="auto" w:fill="auto"/>
            <w:vAlign w:val="top"/>
          </w:tcPr>
          <w:p>
            <w:pPr/>
          </w:p>
        </w:tc>
        <w:tc>
          <w:tcPr>
            <w:tcBorders>
              <w:top w:val="single" w:sz="4"/>
              <w:left w:val="single" w:sz="4"/>
              <w:bottom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ru-RU" w:eastAsia="ru-RU" w:bidi="ru-RU"/>
              </w:rPr>
              <w:t>Типы фиксируемых нарушений</w:t>
            </w:r>
          </w:p>
          <w:p>
            <w:pPr>
              <w:pStyle w:val="Style16"/>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В соответствии с классификацией ГОСТ Р 57144</w:t>
              <w:softHyphen/>
              <w:t>2016 «Специальные технические средства, работающие в автоматическом режиме и имеющие функции фото- и киносъемки, видеозаписи, для обеспечения контроля за дорожным движением. Общие технические требования» КФВФ фиксирует следующие типы событий в области дорожного движения, в т. ч. административных</w:t>
            </w:r>
          </w:p>
        </w:tc>
        <w:tc>
          <w:tcPr>
            <w:tcBorders>
              <w:top w:val="single" w:sz="4"/>
              <w:left w:val="single" w:sz="4"/>
              <w:bottom w:val="single" w:sz="4"/>
            </w:tcBorders>
            <w:shd w:val="clear" w:color="auto" w:fill="auto"/>
            <w:vAlign w:val="top"/>
          </w:tcPr>
          <w:p>
            <w:pPr>
              <w:pStyle w:val="Style16"/>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наличие</w:t>
            </w:r>
          </w:p>
        </w:tc>
        <w:tc>
          <w:tcPr>
            <w:vMerge/>
            <w:tcBorders>
              <w:left w:val="single" w:sz="4"/>
              <w:bottom w:val="single" w:sz="4"/>
              <w:right w:val="single" w:sz="4"/>
            </w:tcBorders>
            <w:shd w:val="clear" w:color="auto" w:fill="auto"/>
            <w:vAlign w:val="top"/>
          </w:tcPr>
          <w:p>
            <w:pPr/>
          </w:p>
        </w:tc>
      </w:tr>
    </w:tbl>
    <w:p>
      <w:pPr>
        <w:widowControl w:val="0"/>
        <w:spacing w:line="1" w:lineRule="exact"/>
      </w:pPr>
      <w:r>
        <w:br w:type="page"/>
      </w:r>
    </w:p>
    <w:tbl>
      <w:tblPr>
        <w:tblOverlap w:val="never"/>
        <w:jc w:val="center"/>
        <w:tblLayout w:type="fixed"/>
      </w:tblPr>
      <w:tblGrid>
        <w:gridCol w:w="552"/>
        <w:gridCol w:w="2170"/>
        <w:gridCol w:w="4632"/>
        <w:gridCol w:w="2040"/>
        <w:gridCol w:w="826"/>
      </w:tblGrid>
      <w:tr>
        <w:trPr>
          <w:trHeight w:val="3941" w:hRule="exact"/>
        </w:trPr>
        <w:tc>
          <w:tcPr>
            <w:vMerge w:val="restart"/>
            <w:tcBorders>
              <w:top w:val="single" w:sz="4"/>
              <w:left w:val="single" w:sz="4"/>
            </w:tcBorders>
            <w:shd w:val="clear" w:color="auto" w:fill="auto"/>
            <w:vAlign w:val="top"/>
          </w:tcPr>
          <w:p>
            <w:pPr>
              <w:widowControl w:val="0"/>
              <w:rPr>
                <w:sz w:val="10"/>
                <w:szCs w:val="10"/>
              </w:rPr>
            </w:pPr>
          </w:p>
        </w:tc>
        <w:tc>
          <w:tcPr>
            <w:vMerge w:val="restart"/>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правонарушений:</w:t>
            </w:r>
          </w:p>
          <w:p>
            <w:pPr>
              <w:pStyle w:val="Style16"/>
              <w:keepNext w:val="0"/>
              <w:keepLines w:val="0"/>
              <w:widowControl w:val="0"/>
              <w:numPr>
                <w:ilvl w:val="0"/>
                <w:numId w:val="3"/>
              </w:numPr>
              <w:shd w:val="clear" w:color="auto" w:fill="auto"/>
              <w:tabs>
                <w:tab w:pos="125" w:val="left"/>
              </w:tabs>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С2 - нарушение установленных правил стоянки или остановки транспортных средств; несоблюдение требований, предписанных дорожными знаками или разметкой проезжей части дороги, запрещающими остановку или стоянку транспортных средств.</w:t>
            </w:r>
          </w:p>
          <w:p>
            <w:pPr>
              <w:pStyle w:val="Style16"/>
              <w:keepNext w:val="0"/>
              <w:keepLines w:val="0"/>
              <w:widowControl w:val="0"/>
              <w:numPr>
                <w:ilvl w:val="0"/>
                <w:numId w:val="3"/>
              </w:numPr>
              <w:shd w:val="clear" w:color="auto" w:fill="auto"/>
              <w:tabs>
                <w:tab w:pos="125" w:val="left"/>
              </w:tabs>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С11 - нарушение требований дорожных знаков и дорожной разметки.</w:t>
            </w:r>
          </w:p>
          <w:p>
            <w:pPr>
              <w:pStyle w:val="Style16"/>
              <w:keepNext w:val="0"/>
              <w:keepLines w:val="0"/>
              <w:widowControl w:val="0"/>
              <w:numPr>
                <w:ilvl w:val="0"/>
                <w:numId w:val="3"/>
              </w:numPr>
              <w:shd w:val="clear" w:color="auto" w:fill="auto"/>
              <w:tabs>
                <w:tab w:pos="125" w:val="left"/>
                <w:tab w:pos="648" w:val="left"/>
              </w:tabs>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С16 - иные административные правонарушения в области дорожного движения. КФВФ должен иметь возможность фиксации нарушений в области благоустройства городской территории, такие как:</w:t>
            </w:r>
          </w:p>
          <w:p>
            <w:pPr>
              <w:pStyle w:val="Style16"/>
              <w:keepNext w:val="0"/>
              <w:keepLines w:val="0"/>
              <w:widowControl w:val="0"/>
              <w:numPr>
                <w:ilvl w:val="0"/>
                <w:numId w:val="3"/>
              </w:numPr>
              <w:shd w:val="clear" w:color="auto" w:fill="auto"/>
              <w:tabs>
                <w:tab w:pos="125" w:val="left"/>
                <w:tab w:pos="648" w:val="left"/>
              </w:tabs>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размещение транспортных средств на</w:t>
            </w:r>
          </w:p>
          <w:p>
            <w:pPr>
              <w:pStyle w:val="Style16"/>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территории объектов благоустройства;</w:t>
            </w:r>
          </w:p>
          <w:p>
            <w:pPr>
              <w:pStyle w:val="Style16"/>
              <w:keepNext w:val="0"/>
              <w:keepLines w:val="0"/>
              <w:widowControl w:val="0"/>
              <w:numPr>
                <w:ilvl w:val="0"/>
                <w:numId w:val="3"/>
              </w:numPr>
              <w:shd w:val="clear" w:color="auto" w:fill="auto"/>
              <w:tabs>
                <w:tab w:pos="125" w:val="left"/>
                <w:tab w:pos="643" w:val="left"/>
              </w:tabs>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нарушения правил парковки в зонах</w:t>
            </w:r>
          </w:p>
          <w:p>
            <w:pPr>
              <w:pStyle w:val="Style16"/>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платного парковочного пространства.</w:t>
            </w:r>
          </w:p>
        </w:tc>
        <w:tc>
          <w:tcPr>
            <w:tcBorders>
              <w:top w:val="single" w:sz="4"/>
              <w:left w:val="single" w:sz="4"/>
            </w:tcBorders>
            <w:shd w:val="clear" w:color="auto" w:fill="auto"/>
            <w:vAlign w:val="top"/>
          </w:tcPr>
          <w:p>
            <w:pPr>
              <w:widowControl w:val="0"/>
              <w:rPr>
                <w:sz w:val="10"/>
                <w:szCs w:val="10"/>
              </w:rPr>
            </w:pPr>
          </w:p>
        </w:tc>
        <w:tc>
          <w:tcPr>
            <w:vMerge w:val="restart"/>
            <w:tcBorders>
              <w:top w:val="single" w:sz="4"/>
              <w:left w:val="single" w:sz="4"/>
              <w:right w:val="single" w:sz="4"/>
            </w:tcBorders>
            <w:shd w:val="clear" w:color="auto" w:fill="auto"/>
            <w:vAlign w:val="top"/>
          </w:tcPr>
          <w:p>
            <w:pPr>
              <w:widowControl w:val="0"/>
              <w:rPr>
                <w:sz w:val="10"/>
                <w:szCs w:val="10"/>
              </w:rPr>
            </w:pPr>
          </w:p>
        </w:tc>
      </w:tr>
      <w:tr>
        <w:trPr>
          <w:trHeight w:val="3715" w:hRule="exact"/>
        </w:trPr>
        <w:tc>
          <w:tcPr>
            <w:vMerge/>
            <w:tcBorders>
              <w:left w:val="single" w:sz="4"/>
              <w:bottom w:val="single" w:sz="4"/>
            </w:tcBorders>
            <w:shd w:val="clear" w:color="auto" w:fill="auto"/>
            <w:vAlign w:val="top"/>
          </w:tcPr>
          <w:p>
            <w:pPr/>
          </w:p>
        </w:tc>
        <w:tc>
          <w:tcPr>
            <w:vMerge/>
            <w:tcBorders>
              <w:left w:val="single" w:sz="4"/>
              <w:bottom w:val="single" w:sz="4"/>
            </w:tcBorders>
            <w:shd w:val="clear" w:color="auto" w:fill="auto"/>
            <w:vAlign w:val="top"/>
          </w:tcPr>
          <w:p>
            <w:pPr/>
          </w:p>
        </w:tc>
        <w:tc>
          <w:tcPr>
            <w:tcBorders>
              <w:top w:val="single" w:sz="4"/>
              <w:left w:val="single" w:sz="4"/>
              <w:bottom w:val="single" w:sz="4"/>
            </w:tcBorders>
            <w:shd w:val="clear" w:color="auto" w:fill="auto"/>
            <w:vAlign w:val="bottom"/>
          </w:tcPr>
          <w:p>
            <w:pPr>
              <w:pStyle w:val="Style16"/>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В метаданных материалов фото фиксации указываются:</w:t>
            </w:r>
          </w:p>
          <w:p>
            <w:pPr>
              <w:pStyle w:val="Style16"/>
              <w:keepNext w:val="0"/>
              <w:keepLines w:val="0"/>
              <w:widowControl w:val="0"/>
              <w:numPr>
                <w:ilvl w:val="0"/>
                <w:numId w:val="5"/>
              </w:numPr>
              <w:shd w:val="clear" w:color="auto" w:fill="auto"/>
              <w:tabs>
                <w:tab w:pos="106" w:val="left"/>
              </w:tabs>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дата и время фиксации;</w:t>
            </w:r>
          </w:p>
          <w:p>
            <w:pPr>
              <w:pStyle w:val="Style16"/>
              <w:keepNext w:val="0"/>
              <w:keepLines w:val="0"/>
              <w:widowControl w:val="0"/>
              <w:numPr>
                <w:ilvl w:val="0"/>
                <w:numId w:val="5"/>
              </w:numPr>
              <w:shd w:val="clear" w:color="auto" w:fill="auto"/>
              <w:tabs>
                <w:tab w:pos="106" w:val="left"/>
              </w:tabs>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место нарушения;</w:t>
            </w:r>
          </w:p>
          <w:p>
            <w:pPr>
              <w:pStyle w:val="Style16"/>
              <w:keepNext w:val="0"/>
              <w:keepLines w:val="0"/>
              <w:widowControl w:val="0"/>
              <w:numPr>
                <w:ilvl w:val="0"/>
                <w:numId w:val="5"/>
              </w:numPr>
              <w:shd w:val="clear" w:color="auto" w:fill="auto"/>
              <w:tabs>
                <w:tab w:pos="106" w:val="left"/>
              </w:tabs>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признак административного правонарушения;</w:t>
            </w:r>
          </w:p>
          <w:p>
            <w:pPr>
              <w:pStyle w:val="Style16"/>
              <w:keepNext w:val="0"/>
              <w:keepLines w:val="0"/>
              <w:widowControl w:val="0"/>
              <w:numPr>
                <w:ilvl w:val="0"/>
                <w:numId w:val="5"/>
              </w:numPr>
              <w:shd w:val="clear" w:color="auto" w:fill="auto"/>
              <w:tabs>
                <w:tab w:pos="106" w:val="left"/>
              </w:tabs>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серийный номер КФВФ;</w:t>
            </w:r>
          </w:p>
          <w:p>
            <w:pPr>
              <w:pStyle w:val="Style16"/>
              <w:keepNext w:val="0"/>
              <w:keepLines w:val="0"/>
              <w:widowControl w:val="0"/>
              <w:numPr>
                <w:ilvl w:val="0"/>
                <w:numId w:val="5"/>
              </w:numPr>
              <w:shd w:val="clear" w:color="auto" w:fill="auto"/>
              <w:tabs>
                <w:tab w:pos="106" w:val="left"/>
              </w:tabs>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результат распознавания ГРЗ ТС.</w:t>
            </w:r>
          </w:p>
          <w:p>
            <w:pPr>
              <w:pStyle w:val="Style16"/>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КФВФ должен обеспечивать сохранение следующих материалов:</w:t>
            </w:r>
          </w:p>
          <w:p>
            <w:pPr>
              <w:pStyle w:val="Style16"/>
              <w:keepNext w:val="0"/>
              <w:keepLines w:val="0"/>
              <w:widowControl w:val="0"/>
              <w:numPr>
                <w:ilvl w:val="0"/>
                <w:numId w:val="5"/>
              </w:numPr>
              <w:shd w:val="clear" w:color="auto" w:fill="auto"/>
              <w:tabs>
                <w:tab w:pos="106" w:val="left"/>
              </w:tabs>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фото правонарушений;</w:t>
            </w:r>
          </w:p>
          <w:p>
            <w:pPr>
              <w:pStyle w:val="Style16"/>
              <w:keepNext w:val="0"/>
              <w:keepLines w:val="0"/>
              <w:widowControl w:val="0"/>
              <w:numPr>
                <w:ilvl w:val="0"/>
                <w:numId w:val="5"/>
              </w:numPr>
              <w:shd w:val="clear" w:color="auto" w:fill="auto"/>
              <w:tabs>
                <w:tab w:pos="106" w:val="left"/>
              </w:tabs>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дату;</w:t>
            </w:r>
          </w:p>
          <w:p>
            <w:pPr>
              <w:pStyle w:val="Style16"/>
              <w:keepNext w:val="0"/>
              <w:keepLines w:val="0"/>
              <w:widowControl w:val="0"/>
              <w:numPr>
                <w:ilvl w:val="0"/>
                <w:numId w:val="5"/>
              </w:numPr>
              <w:shd w:val="clear" w:color="auto" w:fill="auto"/>
              <w:tabs>
                <w:tab w:pos="106" w:val="left"/>
              </w:tabs>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время;</w:t>
            </w:r>
          </w:p>
          <w:p>
            <w:pPr>
              <w:pStyle w:val="Style16"/>
              <w:keepNext w:val="0"/>
              <w:keepLines w:val="0"/>
              <w:widowControl w:val="0"/>
              <w:numPr>
                <w:ilvl w:val="0"/>
                <w:numId w:val="5"/>
              </w:numPr>
              <w:shd w:val="clear" w:color="auto" w:fill="auto"/>
              <w:tabs>
                <w:tab w:pos="106" w:val="left"/>
              </w:tabs>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координаты комплекса места фиксации;</w:t>
            </w:r>
          </w:p>
          <w:p>
            <w:pPr>
              <w:pStyle w:val="Style16"/>
              <w:keepNext w:val="0"/>
              <w:keepLines w:val="0"/>
              <w:widowControl w:val="0"/>
              <w:numPr>
                <w:ilvl w:val="0"/>
                <w:numId w:val="5"/>
              </w:numPr>
              <w:shd w:val="clear" w:color="auto" w:fill="auto"/>
              <w:tabs>
                <w:tab w:pos="106" w:val="left"/>
              </w:tabs>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данные комплекса;</w:t>
            </w:r>
          </w:p>
          <w:p>
            <w:pPr>
              <w:pStyle w:val="Style16"/>
              <w:keepNext w:val="0"/>
              <w:keepLines w:val="0"/>
              <w:widowControl w:val="0"/>
              <w:numPr>
                <w:ilvl w:val="0"/>
                <w:numId w:val="5"/>
              </w:numPr>
              <w:shd w:val="clear" w:color="auto" w:fill="auto"/>
              <w:tabs>
                <w:tab w:pos="106" w:val="left"/>
              </w:tabs>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информацию в виде административного правонарушения.</w:t>
            </w:r>
          </w:p>
        </w:tc>
        <w:tc>
          <w:tcPr>
            <w:tcBorders>
              <w:top w:val="single" w:sz="4"/>
              <w:left w:val="single" w:sz="4"/>
              <w:bottom w:val="single" w:sz="4"/>
            </w:tcBorders>
            <w:shd w:val="clear" w:color="auto" w:fill="auto"/>
            <w:vAlign w:val="center"/>
          </w:tcPr>
          <w:p>
            <w:pPr>
              <w:pStyle w:val="Style16"/>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наличие</w:t>
            </w:r>
          </w:p>
        </w:tc>
        <w:tc>
          <w:tcPr>
            <w:vMerge/>
            <w:tcBorders>
              <w:left w:val="single" w:sz="4"/>
              <w:bottom w:val="single" w:sz="4"/>
              <w:right w:val="single" w:sz="4"/>
            </w:tcBorders>
            <w:shd w:val="clear" w:color="auto" w:fill="auto"/>
            <w:vAlign w:val="top"/>
          </w:tcPr>
          <w:p>
            <w:pPr/>
          </w:p>
        </w:tc>
      </w:tr>
    </w:tbl>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*Эквивалент не допустим в связи с интеграцией в имеющуюся инфраструктуру Заказчика (программное обеспечение «Ангел: Административная Практика»).</w:t>
      </w:r>
    </w:p>
    <w:p>
      <w:pPr>
        <w:widowControl w:val="0"/>
        <w:spacing w:after="179" w:line="1" w:lineRule="exact"/>
      </w:pP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пунктом 1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частью 2 статьи 33 Закона о контракта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извещением Заказчик применил код позиции ОКПД2 26.40.33.191. «Инструменты, приборы и машины для измерения или контроля прочие, не включенные в другие группировки».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извещению Заказчиком установлено ограничение допуска товаров, происходящих из иностранных государств в соответствии с постановлением Правительства РФ № 878 от</w:t>
      </w:r>
    </w:p>
    <w:p>
      <w:pPr>
        <w:pStyle w:val="Style10"/>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10.07.2019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16.09.2016 № 925 и признании утратившими силу некоторых актов Правительства Российской Федерации» (далее - постановление Правительства РФ от 10.07.2019 № 878).</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Примененный заказчиком к описанию объекта закупки код ОКПД2 - 26.40.33.191 «Комплексы автоматической фотовидеофиксации информации» включен в общую группировку кода 26.40.33 «Видеокамеры для записи и прочая аппаратура для записи или воспроизведения изображения», который в свою очередь, включен в Перечень радиоэлектронной продукции, в отношении которой устанавливаются ограничения для целей осуществления закупок для обеспечения государственных и муниципальных нужд.</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Заявитель утверждает, что приобретаемый товар не соответствует ОКПД2 № 26.40.33.191 поскольку является не комплексом фотовидеофиксации информации, а средством измерения применяемое в сфере государственного регулирования измерений, на что указывает позиция КТРУ 26.51.66.190-00000023 «Техническое средство автоматической фотовидеофиксации для обеспечения контроля дорожного движения». Согласно структурированной информации позиции КТРУ в ЕИС в сфере закупок код по ОКПД 2 26.51.66.190 «Инструменты, приборы и машины для измерения или контроля прочие, не включенные в другие группировки»</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данном случае, Заявитель ограничительно понимает объект закупки и соотносит с позициями КТРУ, предназначенными исключительно для средств измерения при обеспечении безопасности дорожного движения, что не соответствует действительной потребности Заказчика.</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Потребностью Заказчика является закупка именно «Комплекса автоматической фотовидеофиксации информации», в задачи которого входят не только измерительные, но и интеллектуальные функции, в том числе:</w:t>
      </w:r>
    </w:p>
    <w:p>
      <w:pPr>
        <w:pStyle w:val="Style10"/>
        <w:keepNext w:val="0"/>
        <w:keepLines w:val="0"/>
        <w:widowControl w:val="0"/>
        <w:numPr>
          <w:ilvl w:val="0"/>
          <w:numId w:val="7"/>
        </w:numPr>
        <w:shd w:val="clear" w:color="auto" w:fill="auto"/>
        <w:tabs>
          <w:tab w:pos="938"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обеспечение распознавания передних и задних государственных регистрационных знаков;</w:t>
      </w:r>
    </w:p>
    <w:p>
      <w:pPr>
        <w:pStyle w:val="Style10"/>
        <w:keepNext w:val="0"/>
        <w:keepLines w:val="0"/>
        <w:widowControl w:val="0"/>
        <w:numPr>
          <w:ilvl w:val="0"/>
          <w:numId w:val="7"/>
        </w:numPr>
        <w:shd w:val="clear" w:color="auto" w:fill="auto"/>
        <w:tabs>
          <w:tab w:pos="918"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обеспечение сбора и отображения в системе мониторинга «Фактор Мониторинг» данных о количестве проехавших транспортных средств с разбивкой по каждой полосе и типам транспортного средства (легковой, грузовой, автобус) и по всей дороге, средней скорости транспортного средства с разбивкой по каждой полосе и типам транспортного средства (легковой, грузовой, автобус) и по всей дороге, количестве нарушений с разбивкой по типам нарушений.</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Таким образом, код позиции КТРУ 26.51.66.190-00000023 «Техническое средство автоматической фотовидеофиксации для обеспечения контроля дорожного движения» не будет в полной мере удовлетворять потребности Заказчика, для выбранного Заказчиком кода ОКПД2 26.40.33.191 применение КТРУ не предусмотрено, следовательно, Заказчик должен руководствоваться общими правилами при описании объекта закупки. Действия Заказчика в части неприменения КТРУ и выборе кода ОКПД2 - 26.40.33.191 являются правомерными и не нарушают требования Закона о контрактной системе.</w:t>
      </w:r>
    </w:p>
    <w:p>
      <w:pPr>
        <w:pStyle w:val="Style10"/>
        <w:keepNext w:val="0"/>
        <w:keepLines w:val="0"/>
        <w:widowControl w:val="0"/>
        <w:shd w:val="clear" w:color="auto" w:fill="auto"/>
        <w:bidi w:val="0"/>
        <w:spacing w:before="0" w:after="240" w:line="240" w:lineRule="auto"/>
        <w:ind w:left="0" w:right="0" w:firstLine="740"/>
        <w:jc w:val="both"/>
      </w:pPr>
      <w:r>
        <w:rPr>
          <w:color w:val="000000"/>
          <w:spacing w:val="0"/>
          <w:w w:val="100"/>
          <w:position w:val="0"/>
          <w:sz w:val="24"/>
          <w:szCs w:val="24"/>
          <w:shd w:val="clear" w:color="auto" w:fill="auto"/>
          <w:lang w:val="ru-RU" w:eastAsia="ru-RU" w:bidi="ru-RU"/>
        </w:rPr>
        <w:t>На основании вышеизложенного, довод является необоснованным.</w:t>
      </w:r>
    </w:p>
    <w:p>
      <w:pPr>
        <w:pStyle w:val="Style10"/>
        <w:keepNext w:val="0"/>
        <w:keepLines w:val="0"/>
        <w:widowControl w:val="0"/>
        <w:shd w:val="clear" w:color="auto" w:fill="auto"/>
        <w:bidi w:val="0"/>
        <w:spacing w:before="0" w:after="0" w:line="240" w:lineRule="auto"/>
        <w:ind w:left="0" w:right="0" w:firstLine="740"/>
        <w:jc w:val="both"/>
      </w:pPr>
      <w:r>
        <w:rPr>
          <w:b/>
          <w:bCs/>
          <w:color w:val="000000"/>
          <w:spacing w:val="0"/>
          <w:w w:val="100"/>
          <w:position w:val="0"/>
          <w:sz w:val="24"/>
          <w:szCs w:val="24"/>
          <w:shd w:val="clear" w:color="auto" w:fill="auto"/>
          <w:lang w:val="ru-RU" w:eastAsia="ru-RU" w:bidi="ru-RU"/>
        </w:rPr>
        <w:t>Кроме того в ходе внеплановой проверки Комиссией Управления установлено следующее.</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Согласно части 2 статьи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 xml:space="preserve">Согласно пункту 1 части 1 статьи 33 Закона о контрактной системе Заказчик в случаях, </w:t>
      </w:r>
      <w:r>
        <w:rPr>
          <w:color w:val="000000"/>
          <w:spacing w:val="0"/>
          <w:w w:val="100"/>
          <w:position w:val="0"/>
          <w:sz w:val="24"/>
          <w:szCs w:val="24"/>
          <w:shd w:val="clear" w:color="auto" w:fill="auto"/>
          <w:lang w:val="ru-RU" w:eastAsia="ru-RU" w:bidi="ru-RU"/>
        </w:rPr>
        <w:t>предусмотренных настоящим Федеральным законом, при описании объекта закупки должен руководствоваться следующими правилами:</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10"/>
        <w:keepNext w:val="0"/>
        <w:keepLines w:val="0"/>
        <w:widowControl w:val="0"/>
        <w:numPr>
          <w:ilvl w:val="0"/>
          <w:numId w:val="9"/>
        </w:numPr>
        <w:shd w:val="clear" w:color="auto" w:fill="auto"/>
        <w:tabs>
          <w:tab w:pos="1048"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сопровождение такого указания словами "или эквивалент";</w:t>
      </w:r>
    </w:p>
    <w:p>
      <w:pPr>
        <w:pStyle w:val="Style10"/>
        <w:keepNext w:val="0"/>
        <w:keepLines w:val="0"/>
        <w:widowControl w:val="0"/>
        <w:numPr>
          <w:ilvl w:val="0"/>
          <w:numId w:val="9"/>
        </w:numPr>
        <w:shd w:val="clear" w:color="auto" w:fill="auto"/>
        <w:tabs>
          <w:tab w:pos="1042"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10"/>
        <w:keepNext w:val="0"/>
        <w:keepLines w:val="0"/>
        <w:widowControl w:val="0"/>
        <w:numPr>
          <w:ilvl w:val="0"/>
          <w:numId w:val="9"/>
        </w:numPr>
        <w:shd w:val="clear" w:color="auto" w:fill="auto"/>
        <w:tabs>
          <w:tab w:pos="1038"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0"/>
        <w:keepNext w:val="0"/>
        <w:keepLines w:val="0"/>
        <w:widowControl w:val="0"/>
        <w:numPr>
          <w:ilvl w:val="0"/>
          <w:numId w:val="9"/>
        </w:numPr>
        <w:shd w:val="clear" w:color="auto" w:fill="auto"/>
        <w:tabs>
          <w:tab w:pos="1018"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Согласно пункту 4 Правил использования каталога товаров, работ, услуг для обеспечения государственных и муниципальных нужд утвержденных Постановлением Правительства РФ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Правила КТРУ) заказчики обязаны применять информацию, включенную в позицию каталога в соответствии с подпунктами "б"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10"/>
        <w:keepNext w:val="0"/>
        <w:keepLines w:val="0"/>
        <w:widowControl w:val="0"/>
        <w:numPr>
          <w:ilvl w:val="0"/>
          <w:numId w:val="11"/>
        </w:numPr>
        <w:shd w:val="clear" w:color="auto" w:fill="auto"/>
        <w:tabs>
          <w:tab w:pos="1048"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наименование товара, работы, услуги;</w:t>
      </w:r>
    </w:p>
    <w:p>
      <w:pPr>
        <w:pStyle w:val="Style10"/>
        <w:keepNext w:val="0"/>
        <w:keepLines w:val="0"/>
        <w:widowControl w:val="0"/>
        <w:numPr>
          <w:ilvl w:val="0"/>
          <w:numId w:val="11"/>
        </w:numPr>
        <w:shd w:val="clear" w:color="auto" w:fill="auto"/>
        <w:tabs>
          <w:tab w:pos="1033"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единицы измерения количества товара, объема выполняемой работы, оказываемой услуги (при наличии);</w:t>
      </w:r>
    </w:p>
    <w:p>
      <w:pPr>
        <w:pStyle w:val="Style10"/>
        <w:keepNext w:val="0"/>
        <w:keepLines w:val="0"/>
        <w:widowControl w:val="0"/>
        <w:numPr>
          <w:ilvl w:val="0"/>
          <w:numId w:val="11"/>
        </w:numPr>
        <w:shd w:val="clear" w:color="auto" w:fill="auto"/>
        <w:tabs>
          <w:tab w:pos="1033"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описание товара, работы, услуги (при наличии такого описания в позиции).</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Согласно части 2 статьи 33 Закона о контрактной системе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 xml:space="preserve">В соответствии с техническим заданием Заказчик устанавливает конкретного производителя Программно-аппаратный комплекс фиксации нарушений ПДД «Фактор»* без </w:t>
      </w:r>
      <w:r>
        <w:rPr>
          <w:color w:val="000000"/>
          <w:spacing w:val="0"/>
          <w:w w:val="100"/>
          <w:position w:val="0"/>
          <w:sz w:val="24"/>
          <w:szCs w:val="24"/>
          <w:shd w:val="clear" w:color="auto" w:fill="auto"/>
          <w:lang w:val="ru-RU" w:eastAsia="ru-RU" w:bidi="ru-RU"/>
        </w:rPr>
        <w:t>возможности поставки эквивалентного товара.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Заказчик дан</w:t>
      </w:r>
      <w:r>
        <w:rPr>
          <w:b/>
          <w:bCs/>
          <w:color w:val="000000"/>
          <w:spacing w:val="0"/>
          <w:w w:val="100"/>
          <w:position w:val="0"/>
          <w:sz w:val="22"/>
          <w:szCs w:val="22"/>
          <w:shd w:val="clear" w:color="auto" w:fill="auto"/>
          <w:lang w:val="ru-RU" w:eastAsia="ru-RU" w:bidi="ru-RU"/>
        </w:rPr>
        <w:t xml:space="preserve">ное требование обосновывает </w:t>
      </w:r>
      <w:r>
        <w:rPr>
          <w:color w:val="000000"/>
          <w:spacing w:val="0"/>
          <w:w w:val="100"/>
          <w:position w:val="0"/>
          <w:sz w:val="24"/>
          <w:szCs w:val="24"/>
          <w:shd w:val="clear" w:color="auto" w:fill="auto"/>
          <w:lang w:val="ru-RU" w:eastAsia="ru-RU" w:bidi="ru-RU"/>
        </w:rPr>
        <w:t>тем, что эквивалент не допустим в связи с интеграцией в имеющуюся инфраструктуру Заказчика (программное обеспечение «УосоМ ТаЫоп», «Фактор Мониторинг», «ЗтаГТгаШс», «КГГМ3»),</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Вместе с тем, согласно п. 6.15.12, 6.15.33, 6.15.44 ГОСТ Р 57144-2016 Аппаратно</w:t>
        <w:softHyphen/>
        <w:t>программное обеспечение технических средств автоматической фотовидеофиксации должно обеспечивать передачу информации на внешний аппаратно-программный комплекс в форматах, совместимых с соответствующими системами обработки фотовидеоматериалов для подготовки постановлений об административных правонарушениях. Аппаратно-программное обеспечение стационарных технических средств фотовидеофиксации должно обеспечивать передачу информации на внешний аппаратно-программный комплекс в режиме реального времени. Аппаратно-программное обеспечение технических средств автоматической фотовидеофиксации должно обеспечивать возможность передачи информации по проводным и/или беспроводным защищенным каналам связи, предусмотренным законодательством Российской Федерации.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Единственным программным обеспечением с которым взаимодействует комплекс фотовидеофиксации в целях обработки фотовидеоматериалов является федеральное программное обеспечение СПО «Паутина» с которым совместимы комплексы фотовидеофиксации всех производителей.</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Кроме того, Заказчик не указал в техническом задании характеристики, позволяющие участникам определить совместимость товара с программным обеспечением «Уосогй ТаЫоп», «Фактор Мониторинг», «ЫпагГГгаПЫ», «К1ТМ3».</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Исходя из норм законодательства о контрактной системе в сфере закупок следует, что применение термина «или эквивалент» является обязательным при указании в документации на товарный знак. При этом законодателем определен исчерпывающий перечень исключений из указанного правила в случае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Следовательно, Заказчику требовалось установить в документации возможность поставки эквивалента программно-аппаратный комплекс фиксации нарушений ПДД «Фактор», а также характеристики, позволяющие участникам определить совместимость товара с программным обеспечением «\осогс1 ТаЫоп», «Фактор Мониторинг», «ЫпаНТгаП’ю» «КХТМ3».</w:t>
      </w:r>
    </w:p>
    <w:p>
      <w:pPr>
        <w:pStyle w:val="Style10"/>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Таким образом, Заказчиком нарушены положения пункта 1 части 1 статьи 33, части 2 статьи 8 Закона о контрактной системе ответственность за которое предусмотрена частью 1.4 статьи 7.30 Кодекса Российской Федерации об административных правонарушениях.</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пунктом 2 части 22 статьи 99 Закона о контрактной системе, при выявлении в результате проведения контрольным органом в сфере закупок плановых и внеплановых проверок, а также в результате рассмотрения жалобы на действия (бездействие) заказчика, уполномоченного органа, уполномоченного учреждения, специализированной организации, оператора электронной площадки или комиссии по осуществлению закупок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w:t>
      </w:r>
    </w:p>
    <w:p>
      <w:pPr>
        <w:pStyle w:val="Style10"/>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Таким образом, Комиссия Управления решила выдать обязательное для исполнения предписание.</w:t>
      </w:r>
    </w:p>
    <w:p>
      <w:pPr>
        <w:pStyle w:val="Style10"/>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 xml:space="preserve">Жалоба ООО «СМАРТ ГРУПП» (ИНН: 1841063508; ОГРН: 1161832065890) от 05.06.2024 № 5478/24 рассмотрена Комиссией Управления в соответствии с требованиями Закона о </w:t>
      </w:r>
      <w:r>
        <w:rPr>
          <w:color w:val="000000"/>
          <w:spacing w:val="0"/>
          <w:w w:val="100"/>
          <w:position w:val="0"/>
          <w:sz w:val="24"/>
          <w:szCs w:val="24"/>
          <w:shd w:val="clear" w:color="auto" w:fill="auto"/>
          <w:lang w:val="ru-RU" w:eastAsia="ru-RU" w:bidi="ru-RU"/>
        </w:rPr>
        <w:t>контрактной системе.</w:t>
      </w:r>
    </w:p>
    <w:p>
      <w:pPr>
        <w:pStyle w:val="Style10"/>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Рассмотрев материалы дела, изучив представленные документы представителей сторон, руководствуясь положениями статьи 106 Закона о контрактной системе, Комиссия Управления</w:t>
      </w:r>
    </w:p>
    <w:p>
      <w:pPr>
        <w:pStyle w:val="Style10"/>
        <w:keepNext w:val="0"/>
        <w:keepLines w:val="0"/>
        <w:widowControl w:val="0"/>
        <w:shd w:val="clear" w:color="auto" w:fill="auto"/>
        <w:bidi w:val="0"/>
        <w:spacing w:before="0" w:after="240" w:line="240" w:lineRule="auto"/>
        <w:ind w:left="0" w:right="0" w:firstLine="0"/>
        <w:jc w:val="center"/>
      </w:pPr>
      <w:r>
        <w:rPr>
          <w:b/>
          <w:bCs/>
          <w:color w:val="000000"/>
          <w:spacing w:val="0"/>
          <w:w w:val="100"/>
          <w:position w:val="0"/>
          <w:sz w:val="24"/>
          <w:szCs w:val="24"/>
          <w:shd w:val="clear" w:color="auto" w:fill="auto"/>
          <w:lang w:val="ru-RU" w:eastAsia="ru-RU" w:bidi="ru-RU"/>
        </w:rPr>
        <w:t>РЕШИЛА:</w:t>
      </w:r>
    </w:p>
    <w:p>
      <w:pPr>
        <w:pStyle w:val="Style10"/>
        <w:keepNext w:val="0"/>
        <w:keepLines w:val="0"/>
        <w:widowControl w:val="0"/>
        <w:numPr>
          <w:ilvl w:val="0"/>
          <w:numId w:val="13"/>
        </w:numPr>
        <w:shd w:val="clear" w:color="auto" w:fill="auto"/>
        <w:tabs>
          <w:tab w:pos="1074"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Признать жалобу ООО «СМАРТ ГРУПП» (ИНН: 1841063508; ОГРН: 1161832065890) от 05.06.2024 № 5478/24 на действия Заказчика — Муниципальное казенное учреждение «Управление информационных технологий и связи города Сургута», Уполномоченного органа — Администрация города Сургута, при проведении электронного аукциона, предметом которого является поставка комплексов автоматической фотовидеофиксации информации (извещение № 0187300006524000744) необоснованной.</w:t>
      </w:r>
    </w:p>
    <w:p>
      <w:pPr>
        <w:pStyle w:val="Style10"/>
        <w:keepNext w:val="0"/>
        <w:keepLines w:val="0"/>
        <w:widowControl w:val="0"/>
        <w:numPr>
          <w:ilvl w:val="0"/>
          <w:numId w:val="13"/>
        </w:numPr>
        <w:shd w:val="clear" w:color="auto" w:fill="auto"/>
        <w:tabs>
          <w:tab w:pos="1074"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Признать в действиях Заказчика — Муниципальное казенное учреждение «Управление информационных технологий и связи города Сургута», Уполномоченного органа — Администрация города Сургута, нарушение положений пункта 1 части 1 статьи 33, части 2 статьи 8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pPr>
        <w:pStyle w:val="Style10"/>
        <w:keepNext w:val="0"/>
        <w:keepLines w:val="0"/>
        <w:widowControl w:val="0"/>
        <w:numPr>
          <w:ilvl w:val="0"/>
          <w:numId w:val="13"/>
        </w:numPr>
        <w:shd w:val="clear" w:color="auto" w:fill="auto"/>
        <w:tabs>
          <w:tab w:pos="1690"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Выдать обязательное для исполнения предписание.</w:t>
      </w:r>
    </w:p>
    <w:p>
      <w:pPr>
        <w:pStyle w:val="Style10"/>
        <w:keepNext w:val="0"/>
        <w:keepLines w:val="0"/>
        <w:widowControl w:val="0"/>
        <w:numPr>
          <w:ilvl w:val="0"/>
          <w:numId w:val="13"/>
        </w:numPr>
        <w:shd w:val="clear" w:color="auto" w:fill="auto"/>
        <w:tabs>
          <w:tab w:pos="1059"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Передать уполномоченному должностному лицу Ханты-Мансийского УФАС России материалы дела для рассмотрения вопроса о привлечении должностных лиц, допустивших нарушение требований Закона о контрактной системе, к административной ответственности.</w:t>
      </w:r>
    </w:p>
    <w:p>
      <w:pPr>
        <w:pStyle w:val="Style10"/>
        <w:keepNext w:val="0"/>
        <w:keepLines w:val="0"/>
        <w:widowControl w:val="0"/>
        <w:numPr>
          <w:ilvl w:val="0"/>
          <w:numId w:val="13"/>
        </w:numPr>
        <w:shd w:val="clear" w:color="auto" w:fill="auto"/>
        <w:tabs>
          <w:tab w:pos="1059" w:val="left"/>
        </w:tabs>
        <w:bidi w:val="0"/>
        <w:spacing w:before="0" w:after="800" w:line="240" w:lineRule="auto"/>
        <w:ind w:left="0" w:right="0" w:firstLine="720"/>
        <w:jc w:val="both"/>
      </w:pPr>
      <w:r>
        <w:rPr>
          <w:color w:val="000000"/>
          <w:spacing w:val="0"/>
          <w:w w:val="100"/>
          <w:position w:val="0"/>
          <w:sz w:val="24"/>
          <w:szCs w:val="24"/>
          <w:shd w:val="clear" w:color="auto" w:fill="auto"/>
          <w:lang w:val="ru-RU" w:eastAsia="ru-RU" w:bidi="ru-RU"/>
        </w:rPr>
        <w:t>Направить данное решение сторонам и опубликовать на официальном сайте единой информационной системы в сфере закупок (\\л\л\'.хакирк1.до\'.ги).</w:t>
      </w:r>
    </w:p>
    <w:p>
      <w:pPr>
        <w:pStyle w:val="Style10"/>
        <w:keepNext w:val="0"/>
        <w:keepLines w:val="0"/>
        <w:widowControl w:val="0"/>
        <w:shd w:val="clear" w:color="auto" w:fill="auto"/>
        <w:tabs>
          <w:tab w:pos="8210" w:val="left"/>
        </w:tabs>
        <w:bidi w:val="0"/>
        <w:spacing w:before="0" w:after="800" w:line="240" w:lineRule="auto"/>
        <w:ind w:left="0" w:right="0" w:firstLine="0"/>
        <w:jc w:val="both"/>
      </w:pPr>
      <w:r>
        <w:rPr>
          <w:color w:val="000000"/>
          <w:spacing w:val="0"/>
          <w:w w:val="100"/>
          <w:position w:val="0"/>
          <w:sz w:val="24"/>
          <w:szCs w:val="24"/>
          <w:shd w:val="clear" w:color="auto" w:fill="auto"/>
          <w:lang w:val="ru-RU" w:eastAsia="ru-RU" w:bidi="ru-RU"/>
        </w:rPr>
        <w:t>Председатель Комиссии</w:t>
        <w:tab/>
        <w:t>Валиуллин Р.Р.</w:t>
      </w:r>
    </w:p>
    <w:p>
      <w:pPr>
        <w:pStyle w:val="Style10"/>
        <w:keepNext w:val="0"/>
        <w:keepLines w:val="0"/>
        <w:widowControl w:val="0"/>
        <w:shd w:val="clear" w:color="auto" w:fill="auto"/>
        <w:tabs>
          <w:tab w:pos="8210" w:val="left"/>
        </w:tabs>
        <w:bidi w:val="0"/>
        <w:spacing w:before="0" w:after="800" w:line="240" w:lineRule="auto"/>
        <w:ind w:left="0" w:right="0" w:firstLine="0"/>
        <w:jc w:val="both"/>
      </w:pPr>
      <w:r>
        <w:rPr>
          <w:color w:val="000000"/>
          <w:spacing w:val="0"/>
          <w:w w:val="100"/>
          <w:position w:val="0"/>
          <w:sz w:val="24"/>
          <w:szCs w:val="24"/>
          <w:shd w:val="clear" w:color="auto" w:fill="auto"/>
          <w:lang w:val="ru-RU" w:eastAsia="ru-RU" w:bidi="ru-RU"/>
        </w:rPr>
        <w:t>Члены Комиссии:</w:t>
        <w:tab/>
        <w:t>Сафонов С.И.</w:t>
      </w:r>
    </w:p>
    <w:p>
      <w:pPr>
        <w:pStyle w:val="Style10"/>
        <w:keepNext w:val="0"/>
        <w:keepLines w:val="0"/>
        <w:widowControl w:val="0"/>
        <w:shd w:val="clear" w:color="auto" w:fill="auto"/>
        <w:bidi w:val="0"/>
        <w:spacing w:before="0" w:after="880" w:line="240" w:lineRule="auto"/>
        <w:ind w:left="8220" w:right="0" w:firstLine="0"/>
        <w:jc w:val="both"/>
      </w:pPr>
      <w:r>
        <w:rPr>
          <w:color w:val="000000"/>
          <w:spacing w:val="0"/>
          <w:w w:val="100"/>
          <w:position w:val="0"/>
          <w:sz w:val="24"/>
          <w:szCs w:val="24"/>
          <w:shd w:val="clear" w:color="auto" w:fill="auto"/>
          <w:lang w:val="ru-RU" w:eastAsia="ru-RU" w:bidi="ru-RU"/>
        </w:rPr>
        <w:t>Петухова Ю.А.</w:t>
      </w:r>
    </w:p>
    <w:p>
      <w:pPr>
        <w:pStyle w:val="Style10"/>
        <w:keepNext w:val="0"/>
        <w:keepLines w:val="0"/>
        <w:widowControl w:val="0"/>
        <w:shd w:val="clear" w:color="auto" w:fill="auto"/>
        <w:bidi w:val="0"/>
        <w:spacing w:before="0" w:after="540" w:line="240" w:lineRule="auto"/>
        <w:ind w:left="8220" w:right="0" w:firstLine="0"/>
        <w:jc w:val="both"/>
      </w:pPr>
      <w:r>
        <w:rPr>
          <w:color w:val="000000"/>
          <w:spacing w:val="0"/>
          <w:w w:val="100"/>
          <w:position w:val="0"/>
          <w:sz w:val="24"/>
          <w:szCs w:val="24"/>
          <w:shd w:val="clear" w:color="auto" w:fill="auto"/>
          <w:lang w:val="ru-RU" w:eastAsia="ru-RU" w:bidi="ru-RU"/>
        </w:rPr>
        <w:t>Мацола А.А.</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Решение, принятое по результатам рассмотрения жалобы по существу, может быть обжаловано в судебном порядке в течение трех месяцев с даты принятия.</w:t>
      </w:r>
    </w:p>
    <w:sectPr>
      <w:footerReference w:type="default" r:id="rId11"/>
      <w:footerReference w:type="first" r:id="rId12"/>
      <w:footnotePr>
        <w:pos w:val="pageBottom"/>
        <w:numFmt w:val="decimal"/>
        <w:numRestart w:val="continuous"/>
      </w:footnotePr>
      <w:pgSz w:w="11900" w:h="16840"/>
      <w:pgMar w:top="1006" w:right="535" w:bottom="1182" w:left="1103" w:header="0" w:footer="3" w:gutter="0"/>
      <w:pgNumType w:start="1"/>
      <w:cols w:space="720"/>
      <w:noEndnote/>
      <w:titlePg/>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724535</wp:posOffset>
              </wp:positionH>
              <wp:positionV relativeFrom="page">
                <wp:posOffset>10006330</wp:posOffset>
              </wp:positionV>
              <wp:extent cx="636905" cy="100330"/>
              <wp:wrapNone/>
              <wp:docPr id="11" name="Shape 11"/>
              <a:graphic xmlns:a="http://schemas.openxmlformats.org/drawingml/2006/main">
                <a:graphicData uri="http://schemas.microsoft.com/office/word/2010/wordprocessingShape">
                  <wps:wsp>
                    <wps:cNvSpPr txBox="1"/>
                    <wps:spPr>
                      <a:xfrm>
                        <a:ext cx="636905" cy="10033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2024-4391</w:t>
                          </w:r>
                        </w:p>
                      </w:txbxContent>
                    </wps:txbx>
                    <wps:bodyPr wrap="none" lIns="0" tIns="0" rIns="0" bIns="0">
                      <a:spAutoFit/>
                    </wps:bodyPr>
                  </wps:wsp>
                </a:graphicData>
              </a:graphic>
            </wp:anchor>
          </w:drawing>
        </mc:Choice>
        <mc:Fallback>
          <w:pict>
            <v:shape id="_x0000_s1037" type="#_x0000_t202" style="position:absolute;margin-left:57.050000000000004pt;margin-top:787.89999999999998pt;width:50.14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2024-4391</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723265</wp:posOffset>
              </wp:positionH>
              <wp:positionV relativeFrom="page">
                <wp:posOffset>10006330</wp:posOffset>
              </wp:positionV>
              <wp:extent cx="636905" cy="100330"/>
              <wp:wrapNone/>
              <wp:docPr id="13" name="Shape 13"/>
              <a:graphic xmlns:a="http://schemas.openxmlformats.org/drawingml/2006/main">
                <a:graphicData uri="http://schemas.microsoft.com/office/word/2010/wordprocessingShape">
                  <wps:wsp>
                    <wps:cNvSpPr txBox="1"/>
                    <wps:spPr>
                      <a:xfrm>
                        <a:ext cx="636905" cy="10033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2024-4391</w:t>
                          </w:r>
                        </w:p>
                      </w:txbxContent>
                    </wps:txbx>
                    <wps:bodyPr wrap="none" lIns="0" tIns="0" rIns="0" bIns="0">
                      <a:spAutoFit/>
                    </wps:bodyPr>
                  </wps:wsp>
                </a:graphicData>
              </a:graphic>
            </wp:anchor>
          </w:drawing>
        </mc:Choice>
        <mc:Fallback>
          <w:pict>
            <v:shape id="_x0000_s1039" type="#_x0000_t202" style="position:absolute;margin-left:56.950000000000003pt;margin-top:787.89999999999998pt;width:50.14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2024-4391</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abstractNum>
  <w:abstractNum w:abstractNumId="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iCs/>
      <w:smallCaps w:val="0"/>
      <w:strike w:val="0"/>
      <w:sz w:val="18"/>
      <w:szCs w:val="18"/>
      <w:u w:val="none"/>
    </w:rPr>
  </w:style>
  <w:style w:type="character" w:customStyle="1" w:styleId="CharStyle7">
    <w:name w:val="Основной текст (3)_"/>
    <w:basedOn w:val="DefaultParagraphFont"/>
    <w:link w:val="Style6"/>
    <w:rPr>
      <w:rFonts w:ascii="Times New Roman" w:eastAsia="Times New Roman" w:hAnsi="Times New Roman" w:cs="Times New Roman"/>
      <w:b w:val="0"/>
      <w:bCs w:val="0"/>
      <w:i w:val="0"/>
      <w:iCs w:val="0"/>
      <w:smallCaps w:val="0"/>
      <w:strike w:val="0"/>
      <w:color w:val="3D60B1"/>
      <w:sz w:val="16"/>
      <w:szCs w:val="16"/>
      <w:u w:val="none"/>
    </w:rPr>
  </w:style>
  <w:style w:type="character" w:customStyle="1" w:styleId="CharStyle9">
    <w:name w:val="Подпись к картинке_"/>
    <w:basedOn w:val="DefaultParagraphFont"/>
    <w:link w:val="Style8"/>
    <w:rPr>
      <w:rFonts w:ascii="Times New Roman" w:eastAsia="Times New Roman" w:hAnsi="Times New Roman" w:cs="Times New Roman"/>
      <w:b w:val="0"/>
      <w:bCs w:val="0"/>
      <w:i w:val="0"/>
      <w:iCs w:val="0"/>
      <w:smallCaps w:val="0"/>
      <w:strike w:val="0"/>
      <w:color w:val="3D60B1"/>
      <w:sz w:val="19"/>
      <w:szCs w:val="19"/>
      <w:u w:val="none"/>
    </w:rPr>
  </w:style>
  <w:style w:type="character" w:customStyle="1" w:styleId="CharStyle11">
    <w:name w:val="Основной текст_"/>
    <w:basedOn w:val="DefaultParagraphFont"/>
    <w:link w:val="Style10"/>
    <w:rPr>
      <w:rFonts w:ascii="Times New Roman" w:eastAsia="Times New Roman" w:hAnsi="Times New Roman" w:cs="Times New Roman"/>
      <w:b w:val="0"/>
      <w:bCs w:val="0"/>
      <w:i w:val="0"/>
      <w:iCs w:val="0"/>
      <w:smallCaps w:val="0"/>
      <w:strike w:val="0"/>
      <w:u w:val="none"/>
    </w:rPr>
  </w:style>
  <w:style w:type="character" w:customStyle="1" w:styleId="CharStyle14">
    <w:name w:val="Колонтитул (2)_"/>
    <w:basedOn w:val="DefaultParagraphFont"/>
    <w:link w:val="Style13"/>
    <w:rPr>
      <w:rFonts w:ascii="Times New Roman" w:eastAsia="Times New Roman" w:hAnsi="Times New Roman" w:cs="Times New Roman"/>
      <w:b w:val="0"/>
      <w:bCs w:val="0"/>
      <w:i w:val="0"/>
      <w:iCs w:val="0"/>
      <w:smallCaps w:val="0"/>
      <w:strike w:val="0"/>
      <w:sz w:val="20"/>
      <w:szCs w:val="20"/>
      <w:u w:val="none"/>
    </w:rPr>
  </w:style>
  <w:style w:type="character" w:customStyle="1" w:styleId="CharStyle17">
    <w:name w:val="Другое_"/>
    <w:basedOn w:val="DefaultParagraphFont"/>
    <w:link w:val="Style16"/>
    <w:rPr>
      <w:rFonts w:ascii="Times New Roman" w:eastAsia="Times New Roman" w:hAnsi="Times New Roman" w:cs="Times New Roman"/>
      <w:b w:val="0"/>
      <w:bCs w:val="0"/>
      <w:i w:val="0"/>
      <w:iCs w:val="0"/>
      <w:smallCaps w:val="0"/>
      <w:strike w:val="0"/>
      <w:u w:val="none"/>
    </w:rPr>
  </w:style>
  <w:style w:type="character" w:customStyle="1" w:styleId="CharStyle21">
    <w:name w:val="Подпись к таблице_"/>
    <w:basedOn w:val="DefaultParagraphFont"/>
    <w:link w:val="Style20"/>
    <w:rPr>
      <w:rFonts w:ascii="Times New Roman" w:eastAsia="Times New Roman" w:hAnsi="Times New Roman" w:cs="Times New Roman"/>
      <w:b w:val="0"/>
      <w:bCs w:val="0"/>
      <w:i w:val="0"/>
      <w:iCs w:val="0"/>
      <w:smallCaps w:val="0"/>
      <w:strike w:val="0"/>
      <w:u w:val="none"/>
    </w:rPr>
  </w:style>
  <w:style w:type="paragraph" w:customStyle="1" w:styleId="Style2">
    <w:name w:val="Основной текст (2)"/>
    <w:basedOn w:val="Normal"/>
    <w:link w:val="CharStyle3"/>
    <w:pPr>
      <w:widowControl w:val="0"/>
      <w:shd w:val="clear" w:color="auto" w:fill="auto"/>
      <w:spacing w:line="254" w:lineRule="auto"/>
      <w:jc w:val="center"/>
    </w:pPr>
    <w:rPr>
      <w:rFonts w:ascii="Times New Roman" w:eastAsia="Times New Roman" w:hAnsi="Times New Roman" w:cs="Times New Roman"/>
      <w:b w:val="0"/>
      <w:bCs w:val="0"/>
      <w:i/>
      <w:iCs/>
      <w:smallCaps w:val="0"/>
      <w:strike w:val="0"/>
      <w:sz w:val="18"/>
      <w:szCs w:val="18"/>
      <w:u w:val="none"/>
    </w:rPr>
  </w:style>
  <w:style w:type="paragraph" w:customStyle="1" w:styleId="Style6">
    <w:name w:val="Основной текст (3)"/>
    <w:basedOn w:val="Normal"/>
    <w:link w:val="CharStyle7"/>
    <w:pPr>
      <w:widowControl w:val="0"/>
      <w:shd w:val="clear" w:color="auto" w:fill="auto"/>
      <w:spacing w:after="90" w:line="288" w:lineRule="auto"/>
      <w:ind w:firstLine="150"/>
    </w:pPr>
    <w:rPr>
      <w:rFonts w:ascii="Times New Roman" w:eastAsia="Times New Roman" w:hAnsi="Times New Roman" w:cs="Times New Roman"/>
      <w:b w:val="0"/>
      <w:bCs w:val="0"/>
      <w:i w:val="0"/>
      <w:iCs w:val="0"/>
      <w:smallCaps w:val="0"/>
      <w:strike w:val="0"/>
      <w:color w:val="3D60B1"/>
      <w:sz w:val="16"/>
      <w:szCs w:val="16"/>
      <w:u w:val="none"/>
    </w:rPr>
  </w:style>
  <w:style w:type="paragraph" w:customStyle="1" w:styleId="Style8">
    <w:name w:val="Подпись к картинке"/>
    <w:basedOn w:val="Normal"/>
    <w:link w:val="CharStyle9"/>
    <w:pPr>
      <w:widowControl w:val="0"/>
      <w:shd w:val="clear" w:color="auto" w:fill="auto"/>
      <w:spacing w:line="254" w:lineRule="auto"/>
    </w:pPr>
    <w:rPr>
      <w:rFonts w:ascii="Times New Roman" w:eastAsia="Times New Roman" w:hAnsi="Times New Roman" w:cs="Times New Roman"/>
      <w:b w:val="0"/>
      <w:bCs w:val="0"/>
      <w:i w:val="0"/>
      <w:iCs w:val="0"/>
      <w:smallCaps w:val="0"/>
      <w:strike w:val="0"/>
      <w:color w:val="3D60B1"/>
      <w:sz w:val="19"/>
      <w:szCs w:val="19"/>
      <w:u w:val="none"/>
    </w:rPr>
  </w:style>
  <w:style w:type="paragraph" w:customStyle="1" w:styleId="Style10">
    <w:name w:val="Основной текст"/>
    <w:basedOn w:val="Normal"/>
    <w:link w:val="CharStyle11"/>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3">
    <w:name w:val="Колонтитул (2)"/>
    <w:basedOn w:val="Normal"/>
    <w:link w:val="CharStyle14"/>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6">
    <w:name w:val="Другое"/>
    <w:basedOn w:val="Normal"/>
    <w:link w:val="CharStyle17"/>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20">
    <w:name w:val="Подпись к таблице"/>
    <w:basedOn w:val="Normal"/>
    <w:link w:val="CharStyle21"/>
    <w:pPr>
      <w:widowControl w:val="0"/>
      <w:shd w:val="clear" w:color="auto" w:fill="auto"/>
      <w:ind w:firstLine="720"/>
    </w:pPr>
    <w:rPr>
      <w:rFonts w:ascii="Times New Roman" w:eastAsia="Times New Roman" w:hAnsi="Times New Roman" w:cs="Times New Roman"/>
      <w:b w:val="0"/>
      <w:bCs w:val="0"/>
      <w:i w:val="0"/>
      <w:iCs w:val="0"/>
      <w:smallCaps w:val="0"/>
      <w:strike w:val="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image" Target="media/image3.jpeg"/><Relationship Id="rId10" Type="http://schemas.openxmlformats.org/officeDocument/2006/relationships/image" Target="media/image3.jpeg" TargetMode="External"/><Relationship Id="rId11" Type="http://schemas.openxmlformats.org/officeDocument/2006/relationships/footer" Target="footer1.xml"/><Relationship Id="rId12" Type="http://schemas.openxmlformats.org/officeDocument/2006/relationships/footer" Target="footer2.xml"/></Relationships>
</file>