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59" w:lineRule="auto"/>
        <w:ind w:left="0" w:right="0" w:firstLine="0"/>
        <w:jc w:val="center"/>
      </w:pPr>
      <w:r>
        <w:rPr>
          <w:b/>
          <w:bCs/>
          <w:spacing w:val="0"/>
          <w:w w:val="100"/>
          <w:position w:val="0"/>
          <w:shd w:val="clear" w:color="auto" w:fill="auto"/>
          <w:lang w:val="ru-RU" w:eastAsia="ru-RU" w:bidi="ru-RU"/>
        </w:rPr>
        <w:t>УПРАВЛЕНИЕ</w:t>
        <w:br/>
      </w: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4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29.05.2024</w:t>
      </w:r>
      <w:r>
        <w:fldChar w:fldCharType="end"/>
      </w:r>
      <w:r>
        <w:rPr>
          <w:color w:val="000000"/>
          <w:spacing w:val="0"/>
          <w:w w:val="100"/>
          <w:position w:val="0"/>
          <w:shd w:val="clear" w:color="auto" w:fill="auto"/>
          <w:lang w:val="ru-RU" w:eastAsia="ru-RU" w:bidi="ru-RU"/>
        </w:rPr>
        <w:tab/>
        <w:t>№ 21156/24</w:t>
      </w:r>
      <w:bookmarkEnd w:id="0"/>
    </w:p>
    <w:p>
      <w:pPr>
        <w:pStyle w:val="Style5"/>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Государственное унитарное предприятие города Москвы «Мосгортранс»</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Риxу^еVаУ81@^^ап8ро^^.то8.^и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«ДТЗ»</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41х-1ю^@1тап8ро11.то8.ги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«СпецТехника-Прогресс»</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81-ргодге88@тго1еЪ.ги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АО«ЕЭТП»</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1698" w:bottom="621" w:left="1140" w:header="0" w:footer="3" w:gutter="0"/>
          <w:pgNumType w:start="1"/>
          <w:cols w:num="2" w:space="1123"/>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4" w:right="0" w:bottom="557" w:left="0" w:header="0" w:footer="3" w:gutter="0"/>
          <w:cols w:space="720"/>
          <w:noEndnote/>
          <w:rtlGutter w:val="0"/>
          <w:docGrid w:linePitch="360"/>
        </w:sectPr>
      </w:pPr>
    </w:p>
    <w:p>
      <w:pPr>
        <w:pStyle w:val="Style11"/>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№077/06/106-6679/2024 о нарушении</w:t>
        <w:br/>
        <w:t>законодательства о контрактной системе</w:t>
        <w:br/>
        <w:t>24.05.2024</w:t>
        <w:tab/>
        <w:t>г. Москва</w:t>
      </w: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 Председательствующего - главного государственного инспектора отдела обжалования государственных закупок С.И. Казарина, Членов Комиссии: Главного государственного инспектора отдела обжалования государственных закупок А.А. Матюшенко, Специалиста-эксперта отдела обжалования государственных закупок О.А. Челновой, рассмотрение жалобы проводилось дистанционно (посредством видео</w:t>
        <w:softHyphen/>
        <w:t>конференц-связи), при участии представителей: ООО «СпецТехника-Прогресс» Е.А. Кочергиной (по доверенности №Д/22/05- 2024 от 22.05.2024), О.Ю. Комарова (по доверенности №Д/22/05-2024/2 от 22.05.2024) Государственное унитарное предприятие города Москвы «Мосгортранс»:</w:t>
      </w:r>
    </w:p>
    <w:p>
      <w:pPr>
        <w:pStyle w:val="Style11"/>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ru-RU" w:eastAsia="ru-RU" w:bidi="ru-RU"/>
        </w:rPr>
        <w:t>И.Г. Русановой (по доверенности №ДТЗ-04-01-01-03/24 от 10.01.2024),</w:t>
      </w:r>
    </w:p>
    <w:p>
      <w:pPr>
        <w:pStyle w:val="Style14"/>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11"/>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рассмотрев жалобу ООО «СпецТехника-Прогресс» (далее — Заявитель) на действия Государственное унитарное предприятие города Москвы «Мосгортранс» (далее — Заказчик) при проведении электронного аукциона на право заключение государственного контракта на поставку полуприцепа (Закупка №0373200082124000192)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13.05.2024 №ИЗК1 заявка Заявителя (идентификационный номер заявки 3) отклонена на следующем основании: «В нарушение требований Постановления Правительства от 30.04.2020 № 616, п. 13 Приложения к постановлению Правительства Российской Федерации от 17 июля 2015 г. №719 предложенный участником к поставке товар согласно представленной выписке из реестра российской промышленной продукции не достигает необходимого процентного показателя совокупного количества баллов от максимально возможного количества баллов для соответствующей продукции.Согласно заключению о подтверждении производства промышленной продукции на территории Российской Федерации продукция набирает 59 баллов и составляет 62,77% от максимально возможного количества баллов, что менее установленных с 1 января 2024 г. - 70%. На основании п. 4 ч. 12 ст. 48 Федерального закона № 44-ФЗ заявка участника подлежит отклонению». В соответствии с п.10.3 раздела I. «Информация о проведении закупки» и п.14 раздела II. «Требования к участникам закупки и необходимый перечень документов для участия в закупке. Подача заявки на участие в электронном аукционе.», а именно: В соответствии с требованием информационной карты аукциона в электронной форме в составе заявки должны быть представлены: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w:t>
      </w:r>
      <w:r>
        <w:rPr>
          <w:color w:val="000000"/>
          <w:spacing w:val="0"/>
          <w:w w:val="100"/>
          <w:position w:val="0"/>
          <w:shd w:val="clear" w:color="auto" w:fill="auto"/>
          <w:lang w:val="ru-RU" w:eastAsia="ru-RU" w:bidi="ru-RU"/>
        </w:rPr>
        <w:t>выполняемых, оказываемых иностранными лицами. В соответствии с Постановлением Правительства РФ от 30.04.2020 №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операции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 в отношении товаров, страной происхождения которых является государство — член Евразийского экономического союза, за исключением Российской Федерации,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пункта 6 Постановления Правительства РФ от 30.04.2020 № 616.</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требованием Технического задания заказчику требуется к поставке в том числе: «Полуприцеп» по позиции КТРУ 29.20.23.110-00000005.</w:t>
      </w:r>
    </w:p>
    <w:p>
      <w:pPr>
        <w:pStyle w:val="Style11"/>
        <w:keepNext w:val="0"/>
        <w:keepLines w:val="0"/>
        <w:widowControl w:val="0"/>
        <w:shd w:val="clear" w:color="auto" w:fill="auto"/>
        <w:bidi w:val="0"/>
        <w:spacing w:before="0" w:after="0" w:line="257"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w:t>
      </w:r>
      <w:r>
        <w:rPr>
          <w:rFonts w:ascii="Cambria" w:eastAsia="Cambria" w:hAnsi="Cambria" w:cs="Cambria"/>
          <w:color w:val="000000"/>
          <w:spacing w:val="0"/>
          <w:w w:val="100"/>
          <w:position w:val="0"/>
          <w:sz w:val="22"/>
          <w:szCs w:val="22"/>
          <w:shd w:val="clear" w:color="auto" w:fill="auto"/>
          <w:lang w:val="ru-RU" w:eastAsia="ru-RU" w:bidi="ru-RU"/>
        </w:rPr>
        <w:t>2024-23718</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от 23.04.2024 №0373200082124000192 Заказчиком 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закупаемые товары соответствуют позиции КТРУ 29.20.23.110-00000005 «Полуприцеп», закупаемые транспортные средства соответствуют коду по общероссийскому классификатору продукции по видам экономической деятельности (далее — ОКПД2) ОКПД 2 29.20.23.110 «Прицепы (полуприцепы) к легковым и грузовым автомобилям, мотоциклам, мотороллерам и квадрициклам», который в свою очередь, включен в Перечень, установленный положениями Постановления №616.</w:t>
      </w:r>
    </w:p>
    <w:p>
      <w:pPr>
        <w:pStyle w:val="Style11"/>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564" w:right="539" w:bottom="557" w:left="1104" w:header="0" w:footer="3" w:gutter="0"/>
          <w:cols w:space="720"/>
          <w:noEndnote/>
          <w:rtlGutter w:val="0"/>
          <w:docGrid w:linePitch="360"/>
        </w:sectPr>
      </w:pPr>
      <w:r>
        <w:rPr>
          <w:color w:val="000000"/>
          <w:spacing w:val="0"/>
          <w:w w:val="100"/>
          <w:position w:val="0"/>
          <w:shd w:val="clear" w:color="auto" w:fill="auto"/>
          <w:lang w:val="ru-RU" w:eastAsia="ru-RU" w:bidi="ru-RU"/>
        </w:rPr>
        <w:t xml:space="preserve">Требование о предоставлении информации и документов, предусмотренных Постановлением №616 в соответствии с ч.3 ст.14 Закона о контрактной системе, отражено в п.14 Информационной карты в составе извещения: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В соответствии с Постановлением Правительства РФ от 30.04.2020 №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пункта 6 Постановления Правительства РФ от 30.04.2020 № 616».</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п.10 Постановления №616 установлено, что для подтверждения соответствия закупки промышленных товаров требованиям, установленным Постановлением №616, участник закупки указывает (декларирует) в составе заявки на участие в закупке:</w:t>
      </w:r>
    </w:p>
    <w:p>
      <w:pPr>
        <w:pStyle w:val="Style11"/>
        <w:keepNext w:val="0"/>
        <w:keepLines w:val="0"/>
        <w:widowControl w:val="0"/>
        <w:numPr>
          <w:ilvl w:val="0"/>
          <w:numId w:val="1"/>
        </w:numPr>
        <w:shd w:val="clear" w:color="auto" w:fill="auto"/>
        <w:tabs>
          <w:tab w:pos="898" w:val="left"/>
        </w:tabs>
        <w:bidi w:val="0"/>
        <w:spacing w:before="0" w:after="0"/>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1"/>
        <w:keepNext w:val="0"/>
        <w:keepLines w:val="0"/>
        <w:widowControl w:val="0"/>
        <w:numPr>
          <w:ilvl w:val="0"/>
          <w:numId w:val="1"/>
        </w:numPr>
        <w:shd w:val="clear" w:color="auto" w:fill="auto"/>
        <w:tabs>
          <w:tab w:pos="898" w:val="left"/>
        </w:tabs>
        <w:bidi w:val="0"/>
        <w:spacing w:before="0" w:after="0"/>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type w:val="continuous"/>
          <w:pgSz w:w="11900" w:h="16840"/>
          <w:pgMar w:top="564" w:right="539" w:bottom="557" w:left="1104" w:header="0" w:footer="3" w:gutter="0"/>
          <w:cols w:space="720"/>
          <w:noEndnote/>
          <w:rtlGutter w:val="0"/>
          <w:docGrid w:linePitch="360"/>
        </w:sectPr>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п.6 Постановления №616. Информация о реестровых записях о товаре и совокупном количестве баллов включается в контракт.</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1"/>
        <w:keepNext w:val="0"/>
        <w:keepLines w:val="0"/>
        <w:widowControl w:val="0"/>
        <w:shd w:val="clear" w:color="auto" w:fill="auto"/>
        <w:bidi w:val="0"/>
        <w:spacing w:before="0" w:after="0" w:line="257" w:lineRule="auto"/>
        <w:ind w:left="0" w:right="0" w:firstLine="700"/>
        <w:jc w:val="both"/>
        <w:rPr>
          <w:sz w:val="22"/>
          <w:szCs w:val="22"/>
        </w:rPr>
        <w:sectPr>
          <w:footnotePr>
            <w:pos w:val="pageBottom"/>
            <w:numFmt w:val="decimal"/>
            <w:numRestart w:val="continuous"/>
          </w:footnotePr>
          <w:pgSz w:w="11900" w:h="16840"/>
          <w:pgMar w:top="1162" w:right="546" w:bottom="69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w:t>
      </w:r>
      <w:r>
        <w:rPr>
          <w:rFonts w:ascii="Cambria" w:eastAsia="Cambria" w:hAnsi="Cambria" w:cs="Cambria"/>
          <w:color w:val="000000"/>
          <w:spacing w:val="0"/>
          <w:w w:val="100"/>
          <w:position w:val="0"/>
          <w:sz w:val="22"/>
          <w:szCs w:val="22"/>
          <w:shd w:val="clear" w:color="auto" w:fill="auto"/>
          <w:lang w:val="ru-RU" w:eastAsia="ru-RU" w:bidi="ru-RU"/>
        </w:rPr>
        <w:t>2024-23718</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Участником в составе заявки предложено к поставке «Полуприцеп-тяжеловоз ЧМЗАП-99903А3», а также выписка из реестра российской промышленной продукции от 22.09.2023 реестровый номер №10396672, исторический номер №2203\786\2022, где в графе «Информация о совокупном количестве баллов за выполнение (освоение) на территории Российской Федерации таких операций (условий): 59.</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заключению о подтверждении производства промышленной продукции на территории Российской Федерации, в соответствии с пунктом 30 настоящего заключения, продукция набирает 59 баллов и составляет 62,77% от максимально возможного количества баллов.</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считает отклонение заявки комиссией Заказчика неправомерным, так как в заявке была предоставлена вся необходимая информация, требуемая извещением о проведении закупки и постановлением № 616. Товар, поставляемый Заявителем, подтвержден номером из реестра российской промышленной продукции от 22.09.2023 - №10396672, исторический номер №2203\786\2022.</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исходя из возражений к жалобе ООО «СпецТехника-Прогресс», согласно прим.13 приложения к постановлению Правительства Российской Федерации от 17.07.2015 № 719 «О подтверждении производства промышленной продукции на территории Российской Федерации» (далее — постановление № 719) для целей осуществления закупок продукции прицепы и полуприцепы самозагружающиеся или саморазгружающиеся для сельского хозяйства; прицепы и полуприцепы прочие; осевые агрегаты прицепов, полуприцепов и прицепной сельскохозяйственной техники для обеспечения государственных и муниципальных нужд, при производстве соответствующей продукции должны выполняться технологические операции (условия), предусмотренные разделом III настоящего приложения в отношении соответствующей продукции, обеспечивающие достижение следующих процентных показателей совокупного количества баллов от максимально возможного количества баллов для соответствующей продукции, с которыми дополнительно суммируются полученные баллы за осуществление научно</w:t>
        <w:softHyphen/>
        <w:t>исследовательских и опытно-конструкторских работ на территории Российской Федерации: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 31 декабря 2021 г. - 30 процентов;</w:t>
      </w:r>
    </w:p>
    <w:p>
      <w:pPr>
        <w:pStyle w:val="Style11"/>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с 1 января 2022 г. - 50 процентов;</w:t>
      </w:r>
    </w:p>
    <w:p>
      <w:pPr>
        <w:pStyle w:val="Style11"/>
        <w:keepNext w:val="0"/>
        <w:keepLines w:val="0"/>
        <w:widowControl w:val="0"/>
        <w:shd w:val="clear" w:color="auto" w:fill="auto"/>
        <w:bidi w:val="0"/>
        <w:spacing w:before="0" w:after="0"/>
        <w:ind w:left="0" w:right="0" w:firstLine="700"/>
        <w:jc w:val="both"/>
        <w:sectPr>
          <w:footnotePr>
            <w:pos w:val="pageBottom"/>
            <w:numFmt w:val="decimal"/>
            <w:numRestart w:val="continuous"/>
          </w:footnotePr>
          <w:pgSz w:w="11900" w:h="16840"/>
          <w:pgMar w:top="1162" w:right="550" w:bottom="1133" w:left="1106" w:header="0" w:footer="3" w:gutter="0"/>
          <w:cols w:space="720"/>
          <w:noEndnote/>
          <w:rtlGutter w:val="0"/>
          <w:docGrid w:linePitch="360"/>
        </w:sectPr>
      </w:pPr>
      <w:r>
        <w:rPr>
          <w:b/>
          <w:bCs/>
          <w:color w:val="000000"/>
          <w:spacing w:val="0"/>
          <w:w w:val="100"/>
          <w:position w:val="0"/>
          <w:shd w:val="clear" w:color="auto" w:fill="auto"/>
          <w:lang w:val="ru-RU" w:eastAsia="ru-RU" w:bidi="ru-RU"/>
        </w:rPr>
        <w:t>с 1 января 2024 г. - 70 процентов;</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 1 января 2026 г. - 80 процентов.</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При этом в составе заявки Заявителя представлена выписка из реестра российской промышленной продукции (реестровый номер №10396672), согласно которой совокупное количество баллов за выполнение (освоение) на территории Российской Федерации операций (условий) составляет 59, при этом согласно заключению о подтверждении производства промышленной продукции на территории Российской Федерации отношение балльной оценки к максимально возможному количеству баллов составляет 62,77%.</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Таким образом, по мнению Заказчика, предложенный участником к поставке товар согласно представленной выписке из реестра российской промышленной продукции не достигает необходимого процентного показателя совокупного количества баллов от максимально возможного количества баллов для соответствующей продукции.</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следующее.</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п.1(2) Постановления Правительства РФ от 17.07.2015 №719 «О подтверждении производства промышленной продукции на территории Российской Федерации» (далее — Постановление №719) подтверждением соответствия товаров (продукции) требованиям, предусмотренным приложение к настоящему постановлению «Требования к промышленной продукции, предъявляемые в целях ее отнесения к продукции, произведенной на территории Российской Федерации» (далее - Требования к промышленной продукции), является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pPr>
        <w:pStyle w:val="Style11"/>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этим на заседание Комиссии Управления представлено Заключение Минпромторга от 22.09.2023 №100865/20 по результатам рассмотрения документов, представленных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№719, согласно которому подтверждено производство следующей промышленной продукции на территории Российской Федерации: Наименование юридического лица: публичное акционерное общество «Челябинский машиностроительный завод автомобильных прицепов «Уралавтоприцеп» (ПАО «Уралавтоприцеп») на период с 22.09.2023 по 21.09.2026.</w:t>
      </w:r>
    </w:p>
    <w:p>
      <w:pPr>
        <w:pStyle w:val="Style11"/>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пп.3 п.10 Постановления Правительства РФ от 30.04.2020 № 616,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w:t>
      </w:r>
      <w:r>
        <w:rPr>
          <w:rFonts w:ascii="Cambria" w:eastAsia="Cambria" w:hAnsi="Cambria" w:cs="Cambria"/>
          <w:color w:val="000000"/>
          <w:spacing w:val="0"/>
          <w:w w:val="100"/>
          <w:position w:val="0"/>
          <w:sz w:val="22"/>
          <w:szCs w:val="22"/>
          <w:shd w:val="clear" w:color="auto" w:fill="auto"/>
          <w:lang w:val="ru-RU" w:eastAsia="ru-RU" w:bidi="ru-RU"/>
        </w:rPr>
        <w:t>2024-23718</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свою очередь, Комиссия Управления отмечает, что вышеуказанное положение указывает на обстоятельства несоответствия совокупного количества баллов требованиям, установленным для целей осуществления закупок постановлением № 719, в то время как заявка Заявителя отклонена на основании несоответствия необходимого процентного показателя совокупного количества баллов от максимально возможного количества баллов при производстве соответствующей продукции.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Комиссией Управления установлено, что заключение о подтверждении производства промышленной продукции на территории Российской Федерации, выданное Минпромторгом в отношении продукции ПАО «Уралавтоприцеп» выдано в соответствии с требованиями постановления № 719 22.09.2023 в период действия требований прим. 13 приложения к постановлению № 719, согласно которому в отношении соответствующей продукции процентный показатель совокупного количества баллов от максимально возможного количества баллов для соответствующей продукции, с которыми дополнительно суммируются полученные баллы за осуществление научно-исследовательских и опытно</w:t>
        <w:softHyphen/>
        <w:t>конструкторских работ на территории Российской Федерации с 1 января 2022 г. составляет 50 процентов, в связи с чем продукция ПАО «Уралавтоприцеп» включена в реестр промышленных товаров, при этом срок действия такого заключения определен до 21.09.2026.</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связи с изложенным Комиссия Управления приходит к выводу о том, что при таких данных заявка не противоречит требованиям извещения и Закону о контрактной системе, а также требованиям постановления № 616 в силу выполнения всех необходимых условий для подтверждения страны происхождения поставляемого товара.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3"/>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3"/>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3"/>
        </w:numPr>
        <w:shd w:val="clear" w:color="auto" w:fill="auto"/>
        <w:tabs>
          <w:tab w:pos="1070" w:val="left"/>
        </w:tabs>
        <w:bidi w:val="0"/>
        <w:spacing w:before="0" w:after="0" w:line="295" w:lineRule="auto"/>
        <w:ind w:left="0" w:right="0" w:firstLine="720"/>
        <w:jc w:val="both"/>
        <w:rPr>
          <w:sz w:val="22"/>
          <w:szCs w:val="22"/>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46" w:bottom="658" w:left="1106" w:header="0" w:footer="23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ч. 1 ст. 31 Закона о </w:t>
      </w:r>
      <w:r>
        <w:rPr>
          <w:rFonts w:ascii="Cambria" w:eastAsia="Cambria" w:hAnsi="Cambria" w:cs="Cambria"/>
          <w:color w:val="000000"/>
          <w:spacing w:val="0"/>
          <w:w w:val="100"/>
          <w:position w:val="0"/>
          <w:sz w:val="22"/>
          <w:szCs w:val="22"/>
          <w:shd w:val="clear" w:color="auto" w:fill="auto"/>
          <w:lang w:val="ru-RU" w:eastAsia="ru-RU" w:bidi="ru-RU"/>
        </w:rPr>
        <w:t>2024-23718</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11"/>
        <w:keepNext w:val="0"/>
        <w:keepLines w:val="0"/>
        <w:widowControl w:val="0"/>
        <w:numPr>
          <w:ilvl w:val="0"/>
          <w:numId w:val="3"/>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1"/>
        <w:keepNext w:val="0"/>
        <w:keepLines w:val="0"/>
        <w:widowControl w:val="0"/>
        <w:numPr>
          <w:ilvl w:val="0"/>
          <w:numId w:val="3"/>
        </w:numPr>
        <w:shd w:val="clear" w:color="auto" w:fill="auto"/>
        <w:tabs>
          <w:tab w:pos="1086"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1"/>
        <w:keepNext w:val="0"/>
        <w:keepLines w:val="0"/>
        <w:widowControl w:val="0"/>
        <w:numPr>
          <w:ilvl w:val="0"/>
          <w:numId w:val="3"/>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3"/>
        </w:numPr>
        <w:shd w:val="clear" w:color="auto" w:fill="auto"/>
        <w:tabs>
          <w:tab w:pos="1790"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1"/>
        <w:keepNext w:val="0"/>
        <w:keepLines w:val="0"/>
        <w:widowControl w:val="0"/>
        <w:numPr>
          <w:ilvl w:val="0"/>
          <w:numId w:val="3"/>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1"/>
        <w:keepNext w:val="0"/>
        <w:keepLines w:val="0"/>
        <w:widowControl w:val="0"/>
        <w:numPr>
          <w:ilvl w:val="0"/>
          <w:numId w:val="3"/>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основе вышеизложенного, Комиссия Управления приходит к выводу о том, в решение комиссии Заказчика об отклонении заявки Заявителя, по основанию указанному в протоколе подведения итогов, принято в нарушение пп. «а» п.1 ч.5 ст.49 Закона о контрактной системе, что также свидетельствует о наличии в действиях комиссии Заказчика признаков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ind w:left="0" w:right="0" w:firstLine="72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162" w:right="546"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54"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numPr>
          <w:ilvl w:val="0"/>
          <w:numId w:val="5"/>
        </w:numPr>
        <w:shd w:val="clear" w:color="auto" w:fill="auto"/>
        <w:tabs>
          <w:tab w:pos="141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Признать жалобу ООО «СпецТехника-Прогресс» на действия Государственное унитарное предприятие города Москвы «Мосгортранс» обоснованной.</w:t>
      </w:r>
    </w:p>
    <w:p>
      <w:pPr>
        <w:pStyle w:val="Style11"/>
        <w:keepNext w:val="0"/>
        <w:keepLines w:val="0"/>
        <w:widowControl w:val="0"/>
        <w:numPr>
          <w:ilvl w:val="0"/>
          <w:numId w:val="5"/>
        </w:numPr>
        <w:shd w:val="clear" w:color="auto" w:fill="auto"/>
        <w:tabs>
          <w:tab w:pos="141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Признать в действиях комиссии Заказчика пп. «а» п.1 ч.5 ст.49 Закона о контрактной системе.</w:t>
      </w:r>
    </w:p>
    <w:p>
      <w:pPr>
        <w:pStyle w:val="Style11"/>
        <w:keepNext w:val="0"/>
        <w:keepLines w:val="0"/>
        <w:widowControl w:val="0"/>
        <w:numPr>
          <w:ilvl w:val="0"/>
          <w:numId w:val="5"/>
        </w:numPr>
        <w:shd w:val="clear" w:color="auto" w:fill="auto"/>
        <w:tabs>
          <w:tab w:pos="141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5"/>
        </w:numPr>
        <w:shd w:val="clear" w:color="auto" w:fill="auto"/>
        <w:tabs>
          <w:tab w:pos="1416" w:val="left"/>
        </w:tabs>
        <w:bidi w:val="0"/>
        <w:spacing w:before="0" w:after="280" w:line="254"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6" w:bottom="1657" w:left="1106" w:header="0" w:footer="3" w:gutter="0"/>
          <w:cols w:space="720"/>
          <w:noEndnote/>
          <w:rtlGutter w:val="0"/>
          <w:docGrid w:linePitch="360"/>
        </w:sectPr>
      </w:pPr>
      <w:r>
        <mc:AlternateContent>
          <mc:Choice Requires="wps">
            <w:drawing>
              <wp:anchor distT="571500" distB="219075" distL="0" distR="0" simplePos="0" relativeHeight="125829378" behindDoc="0" locked="0" layoutInCell="1" allowOverlap="1">
                <wp:simplePos x="0" y="0"/>
                <wp:positionH relativeFrom="page">
                  <wp:posOffset>735965</wp:posOffset>
                </wp:positionH>
                <wp:positionV relativeFrom="paragraph">
                  <wp:posOffset>571500</wp:posOffset>
                </wp:positionV>
                <wp:extent cx="1850390" cy="250190"/>
                <wp:wrapTopAndBottom/>
                <wp:docPr id="28" name="Shape 28"/>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4" type="#_x0000_t202" style="position:absolute;margin-left:57.950000000000003pt;margin-top:45.pt;width:145.70000000000002pt;height:19.699999999999999pt;z-index:-125829375;mso-wrap-distance-left:0;mso-wrap-distance-top:45.pt;mso-wrap-distance-right:0;mso-wrap-distance-bottom:17.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41350" distB="0" distL="0" distR="1789430" simplePos="0" relativeHeight="125829380" behindDoc="0" locked="0" layoutInCell="1" allowOverlap="1">
            <wp:simplePos x="0" y="0"/>
            <wp:positionH relativeFrom="page">
              <wp:posOffset>3107055</wp:posOffset>
            </wp:positionH>
            <wp:positionV relativeFrom="paragraph">
              <wp:posOffset>641350</wp:posOffset>
            </wp:positionV>
            <wp:extent cx="353695" cy="402590"/>
            <wp:wrapTopAndBottom/>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5"/>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732790</wp:posOffset>
                </wp:positionV>
                <wp:extent cx="1725295" cy="255905"/>
                <wp:wrapNone/>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55000000000001pt;margin-top:57.700000000000003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71500" distB="219075" distL="0" distR="0" simplePos="0" relativeHeight="125829381" behindDoc="0" locked="0" layoutInCell="1" allowOverlap="1">
                <wp:simplePos x="0" y="0"/>
                <wp:positionH relativeFrom="page">
                  <wp:posOffset>6185535</wp:posOffset>
                </wp:positionH>
                <wp:positionV relativeFrom="paragraph">
                  <wp:posOffset>571500</wp:posOffset>
                </wp:positionV>
                <wp:extent cx="1029970" cy="250190"/>
                <wp:wrapTopAndBottom/>
                <wp:docPr id="34" name="Shape 34"/>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0" type="#_x0000_t202" style="position:absolute;margin-left:487.05000000000001pt;margin-top:45.pt;width:81.100000000000009pt;height:19.699999999999999pt;z-index:-125829372;mso-wrap-distance-left:0;mso-wrap-distance-top:45.pt;mso-wrap-distance-right:0;mso-wrap-distance-bottom:17.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 xml:space="preserve">000590946031СЕ073ВЕ5С506ЕЕ7501 </w:t>
      </w:r>
      <w:r>
        <w:rPr>
          <w:spacing w:val="0"/>
          <w:w w:val="100"/>
          <w:position w:val="0"/>
          <w:shd w:val="clear" w:color="auto" w:fill="auto"/>
          <w:lang w:val="ru-RU" w:eastAsia="ru-RU" w:bidi="ru-RU"/>
        </w:rPr>
        <w:t>0760</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1"/>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3" behindDoc="0" locked="0" layoutInCell="1" allowOverlap="1">
            <wp:simplePos x="0" y="0"/>
            <wp:positionH relativeFrom="page">
              <wp:posOffset>3073400</wp:posOffset>
            </wp:positionH>
            <wp:positionV relativeFrom="paragraph">
              <wp:posOffset>25400</wp:posOffset>
            </wp:positionV>
            <wp:extent cx="389890" cy="572770"/>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7"/>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461010</wp:posOffset>
                </wp:positionV>
                <wp:extent cx="1280160" cy="103505"/>
                <wp:wrapNone/>
                <wp:docPr id="38" name="Shape 38"/>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4" type="#_x0000_t202" style="position:absolute;margin-left:281.10000000000002pt;margin-top:36.300000000000004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150495</wp:posOffset>
                </wp:positionV>
                <wp:extent cx="1725295" cy="255905"/>
                <wp:wrapNone/>
                <wp:docPr id="40" name="Shape 4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5pt;margin-top:11.85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2"/>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44СЕ019Э689ЕВ23598ВССВЕ99Е1С6Е2С</w:t>
      </w:r>
    </w:p>
    <w:p>
      <w:pPr>
        <w:pStyle w:val="Style22"/>
        <w:keepNext w:val="0"/>
        <w:keepLines w:val="0"/>
        <w:widowControl w:val="0"/>
        <w:shd w:val="clear" w:color="auto" w:fill="auto"/>
        <w:bidi w:val="0"/>
        <w:spacing w:before="0" w:after="84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6173470</wp:posOffset>
                </wp:positionH>
                <wp:positionV relativeFrom="paragraph">
                  <wp:posOffset>457200</wp:posOffset>
                </wp:positionV>
                <wp:extent cx="1048385" cy="252730"/>
                <wp:wrapSquare wrapText="bothSides"/>
                <wp:docPr id="42" name="Shape 42"/>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wps:txbx>
                      <wps:bodyPr wrap="none" lIns="0" tIns="0" rIns="0" bIns="0">
                        <a:noAutoFit/>
                      </wps:bodyPr>
                    </wps:wsp>
                  </a:graphicData>
                </a:graphic>
              </wp:anchor>
            </w:drawing>
          </mc:Choice>
          <mc:Fallback>
            <w:pict>
              <v:shape id="_x0000_s1068" type="#_x0000_t202" style="position:absolute;margin-left:486.10000000000002pt;margin-top:36.pt;width:82.549999999999997pt;height:19.900000000000002pt;z-index:-125829369;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v:textbox>
                <w10:wrap type="square"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B4B4B"/>
          <w:spacing w:val="0"/>
          <w:w w:val="100"/>
          <w:position w:val="0"/>
          <w:shd w:val="clear" w:color="auto" w:fill="auto"/>
          <w:lang w:val="ru-RU" w:eastAsia="ru-RU" w:bidi="ru-RU"/>
        </w:rPr>
        <w:t xml:space="preserve">10.04.2023 </w:t>
      </w:r>
      <w:r>
        <w:rPr>
          <w:spacing w:val="0"/>
          <w:w w:val="100"/>
          <w:position w:val="0"/>
          <w:shd w:val="clear" w:color="auto" w:fill="auto"/>
          <w:lang w:val="ru-RU" w:eastAsia="ru-RU" w:bidi="ru-RU"/>
        </w:rPr>
        <w:t xml:space="preserve">по </w:t>
      </w:r>
      <w:r>
        <w:rPr>
          <w:color w:val="4B4B4B"/>
          <w:spacing w:val="0"/>
          <w:w w:val="100"/>
          <w:position w:val="0"/>
          <w:shd w:val="clear" w:color="auto" w:fill="auto"/>
          <w:lang w:val="ru-RU" w:eastAsia="ru-RU" w:bidi="ru-RU"/>
        </w:rPr>
        <w:t>03.07.2024</w:t>
      </w:r>
    </w:p>
    <w:p>
      <w:pPr>
        <w:pStyle w:val="Style29"/>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color w:val="EAEAEA"/>
          <w:spacing w:val="0"/>
          <w:w w:val="100"/>
          <w:position w:val="0"/>
          <w:sz w:val="11"/>
          <w:szCs w:val="11"/>
          <w:shd w:val="clear" w:color="auto" w:fill="auto"/>
          <w:lang w:val="ru-RU" w:eastAsia="ru-RU" w:bidi="ru-RU"/>
        </w:rPr>
        <w:t xml:space="preserve">СВЕДЕНИЯ О СЕРТИФИКАТЕ </w:t>
      </w:r>
      <w:r>
        <w:rPr>
          <w:color w:val="FFFFFF"/>
          <w:spacing w:val="0"/>
          <w:w w:val="100"/>
          <w:position w:val="0"/>
          <w:sz w:val="11"/>
          <w:szCs w:val="11"/>
          <w:shd w:val="clear" w:color="auto" w:fill="auto"/>
          <w:lang w:val="ru-RU" w:eastAsia="ru-RU" w:bidi="ru-RU"/>
        </w:rPr>
        <w:t>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Челнова Олеся Антоновна</w:t>
      </w:r>
    </w:p>
    <w:p>
      <w:pPr>
        <w:pStyle w:val="Style22"/>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218С2Е7ОЗЕ7Е88445А841АСЕ73Е4О187</w:t>
      </w:r>
    </w:p>
    <w:p>
      <w:pPr>
        <w:pStyle w:val="Style22"/>
        <w:keepNext w:val="0"/>
        <w:keepLines w:val="0"/>
        <w:widowControl w:val="0"/>
        <w:shd w:val="clear" w:color="auto" w:fill="auto"/>
        <w:bidi w:val="0"/>
        <w:spacing w:before="0" w:after="10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Исп.Челнова О.А. тел.(495) 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10105390</wp:posOffset>
              </wp:positionV>
              <wp:extent cx="722630" cy="100330"/>
              <wp:wrapNone/>
              <wp:docPr id="6" name="Shape 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wps:txbx>
                    <wps:bodyPr wrap="none" lIns="0" tIns="0" rIns="0" bIns="0">
                      <a:spAutoFit/>
                    </wps:bodyPr>
                  </wps:wsp>
                </a:graphicData>
              </a:graphic>
            </wp:anchor>
          </w:drawing>
        </mc:Choice>
        <mc:Fallback>
          <w:pict>
            <v:shape id="_x0000_s1032" type="#_x0000_t202" style="position:absolute;margin-left:57.200000000000003pt;margin-top:795.7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10217150</wp:posOffset>
              </wp:positionV>
              <wp:extent cx="722630" cy="100330"/>
              <wp:wrapNone/>
              <wp:docPr id="8" name="Shape 8"/>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2024-23718</w:t>
                          </w:r>
                        </w:p>
                      </w:txbxContent>
                    </wps:txbx>
                    <wps:bodyPr wrap="none" lIns="0" tIns="0" rIns="0" bIns="0">
                      <a:spAutoFit/>
                    </wps:bodyPr>
                  </wps:wsp>
                </a:graphicData>
              </a:graphic>
            </wp:anchor>
          </w:drawing>
        </mc:Choice>
        <mc:Fallback>
          <w:pict>
            <v:shape id="_x0000_s1034" type="#_x0000_t202" style="position:absolute;margin-left:57.pt;margin-top:804.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2024-23718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10105390</wp:posOffset>
              </wp:positionV>
              <wp:extent cx="722630" cy="100330"/>
              <wp:wrapNone/>
              <wp:docPr id="12" name="Shape 1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wps:txbx>
                    <wps:bodyPr wrap="none" lIns="0" tIns="0" rIns="0" bIns="0">
                      <a:spAutoFit/>
                    </wps:bodyPr>
                  </wps:wsp>
                </a:graphicData>
              </a:graphic>
            </wp:anchor>
          </w:drawing>
        </mc:Choice>
        <mc:Fallback>
          <w:pict>
            <v:shape id="_x0000_s1038" type="#_x0000_t202" style="position:absolute;margin-left:57.200000000000003pt;margin-top:795.70000000000005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726440</wp:posOffset>
              </wp:positionH>
              <wp:positionV relativeFrom="page">
                <wp:posOffset>10105390</wp:posOffset>
              </wp:positionV>
              <wp:extent cx="722630" cy="100330"/>
              <wp:wrapNone/>
              <wp:docPr id="22" name="Shape 2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wps:txbx>
                    <wps:bodyPr wrap="none" lIns="0" tIns="0" rIns="0" bIns="0">
                      <a:spAutoFit/>
                    </wps:bodyPr>
                  </wps:wsp>
                </a:graphicData>
              </a:graphic>
            </wp:anchor>
          </w:drawing>
        </mc:Choice>
        <mc:Fallback>
          <w:pict>
            <v:shape id="_x0000_s1048" type="#_x0000_t202" style="position:absolute;margin-left:57.200000000000003pt;margin-top:795.70000000000005pt;width:56.899999999999999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726440</wp:posOffset>
              </wp:positionH>
              <wp:positionV relativeFrom="page">
                <wp:posOffset>10105390</wp:posOffset>
              </wp:positionV>
              <wp:extent cx="722630" cy="100330"/>
              <wp:wrapNone/>
              <wp:docPr id="26" name="Shape 2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wps:txbx>
                    <wps:bodyPr wrap="none" lIns="0" tIns="0" rIns="0" bIns="0">
                      <a:spAutoFit/>
                    </wps:bodyPr>
                  </wps:wsp>
                </a:graphicData>
              </a:graphic>
            </wp:anchor>
          </w:drawing>
        </mc:Choice>
        <mc:Fallback>
          <w:pict>
            <v:shape id="_x0000_s1052" type="#_x0000_t202" style="position:absolute;margin-left:57.200000000000003pt;margin-top:795.70000000000005pt;width:56.899999999999999pt;height:7.9000000000000004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2024-23718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3928745</wp:posOffset>
              </wp:positionH>
              <wp:positionV relativeFrom="page">
                <wp:posOffset>190500</wp:posOffset>
              </wp:positionV>
              <wp:extent cx="57785" cy="103505"/>
              <wp:wrapNone/>
              <wp:docPr id="2" name="Shape 2"/>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35000000000002pt;margin-top:1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476250</wp:posOffset>
              </wp:positionV>
              <wp:extent cx="113030" cy="103505"/>
              <wp:wrapNone/>
              <wp:docPr id="4" name="Shape 4"/>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307.30000000000001pt;margin-top:37.5pt;width:8.9000000000000004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476250</wp:posOffset>
              </wp:positionV>
              <wp:extent cx="113030" cy="103505"/>
              <wp:wrapNone/>
              <wp:docPr id="10" name="Shape 10"/>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7.30000000000001pt;margin-top:37.5pt;width:8.9000000000000004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3928745</wp:posOffset>
              </wp:positionH>
              <wp:positionV relativeFrom="page">
                <wp:posOffset>190500</wp:posOffset>
              </wp:positionV>
              <wp:extent cx="57785" cy="103505"/>
              <wp:wrapNone/>
              <wp:docPr id="14" name="Shape 14"/>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9.35000000000002pt;margin-top:15.pt;width:4.5499999999999998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3928745</wp:posOffset>
              </wp:positionH>
              <wp:positionV relativeFrom="page">
                <wp:posOffset>190500</wp:posOffset>
              </wp:positionV>
              <wp:extent cx="57785" cy="103505"/>
              <wp:wrapNone/>
              <wp:docPr id="16" name="Shape 16"/>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309.35000000000002pt;margin-top:15.pt;width:4.54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3928745</wp:posOffset>
              </wp:positionH>
              <wp:positionV relativeFrom="page">
                <wp:posOffset>190500</wp:posOffset>
              </wp:positionV>
              <wp:extent cx="57785" cy="103505"/>
              <wp:wrapNone/>
              <wp:docPr id="18" name="Shape 18"/>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309.35000000000002pt;margin-top:15.pt;width:4.5499999999999998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3902710</wp:posOffset>
              </wp:positionH>
              <wp:positionV relativeFrom="page">
                <wp:posOffset>476250</wp:posOffset>
              </wp:positionV>
              <wp:extent cx="113030" cy="103505"/>
              <wp:wrapNone/>
              <wp:docPr id="20" name="Shape 20"/>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7.30000000000001pt;margin-top:37.5pt;width:8.9000000000000004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3902710</wp:posOffset>
              </wp:positionH>
              <wp:positionV relativeFrom="page">
                <wp:posOffset>476250</wp:posOffset>
              </wp:positionV>
              <wp:extent cx="113030" cy="103505"/>
              <wp:wrapNone/>
              <wp:docPr id="24" name="Shape 24"/>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7.30000000000001pt;margin-top:37.5pt;width:8.9000000000000004pt;height:8.15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62626"/>
      <w:sz w:val="11"/>
      <w:szCs w:val="11"/>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46464"/>
      <w:sz w:val="12"/>
      <w:szCs w:val="12"/>
      <w:u w:val="none"/>
    </w:rPr>
  </w:style>
  <w:style w:type="character" w:customStyle="1" w:styleId="CharStyle30">
    <w:name w:val="Основной текст (4)_"/>
    <w:basedOn w:val="DefaultParagraphFont"/>
    <w:link w:val="Style29"/>
    <w:rPr>
      <w:rFonts w:ascii="Georgia" w:eastAsia="Georgia" w:hAnsi="Georgia" w:cs="Georgia"/>
      <w:b w:val="0"/>
      <w:bCs w:val="0"/>
      <w:i w:val="0"/>
      <w:iCs w:val="0"/>
      <w:smallCaps w:val="0"/>
      <w:strike w:val="0"/>
      <w:color w:val="262626"/>
      <w:sz w:val="11"/>
      <w:szCs w:val="11"/>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2">
    <w:name w:val="Основной текст (2)"/>
    <w:basedOn w:val="Normal"/>
    <w:link w:val="CharStyle23"/>
    <w:pPr>
      <w:widowControl w:val="0"/>
      <w:shd w:val="clear" w:color="auto" w:fill="auto"/>
      <w:spacing w:after="50"/>
      <w:ind w:left="3820"/>
    </w:pPr>
    <w:rPr>
      <w:rFonts w:ascii="Arial" w:eastAsia="Arial" w:hAnsi="Arial" w:cs="Arial"/>
      <w:b w:val="0"/>
      <w:bCs w:val="0"/>
      <w:i w:val="0"/>
      <w:iCs w:val="0"/>
      <w:smallCaps w:val="0"/>
      <w:strike w:val="0"/>
      <w:color w:val="646464"/>
      <w:sz w:val="12"/>
      <w:szCs w:val="12"/>
      <w:u w:val="none"/>
    </w:rPr>
  </w:style>
  <w:style w:type="paragraph" w:customStyle="1" w:styleId="Style29">
    <w:name w:val="Основной текст (4)"/>
    <w:basedOn w:val="Normal"/>
    <w:link w:val="CharStyle30"/>
    <w:pPr>
      <w:widowControl w:val="0"/>
      <w:shd w:val="clear" w:color="auto" w:fill="auto"/>
      <w:spacing w:after="100"/>
      <w:ind w:left="4460"/>
    </w:pPr>
    <w:rPr>
      <w:rFonts w:ascii="Georgia" w:eastAsia="Georgia" w:hAnsi="Georgia" w:cs="Georgia"/>
      <w:b w:val="0"/>
      <w:bCs w:val="0"/>
      <w:i w:val="0"/>
      <w:iCs w:val="0"/>
      <w:smallCaps w:val="0"/>
      <w:strike w:val="0"/>
      <w:color w:val="262626"/>
      <w:sz w:val="11"/>
      <w:szCs w:val="11"/>
      <w:u w:val="none"/>
    </w:rPr>
  </w:style>
  <w:style w:type="paragraph" w:customStyle="1" w:styleId="Style33">
    <w:name w:val="Основной текст (5)"/>
    <w:basedOn w:val="Normal"/>
    <w:link w:val="CharStyle34"/>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image" Target="media/image2.jpeg"/><Relationship Id="rId26" Type="http://schemas.openxmlformats.org/officeDocument/2006/relationships/image" Target="media/image2.jpeg" TargetMode="External"/><Relationship Id="rId27" Type="http://schemas.openxmlformats.org/officeDocument/2006/relationships/image" Target="media/image3.jpeg"/><Relationship Id="rId28" Type="http://schemas.openxmlformats.org/officeDocument/2006/relationships/image" Target="media/image3.jpeg" TargetMode="External"/></Relationships>
</file>