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keepLines/>
        <w:widowControl w:val="0"/>
        <w:shd w:val="clear" w:color="auto" w:fill="auto"/>
        <w:tabs>
          <w:tab w:pos="1810" w:val="left"/>
          <w:tab w:pos="2525" w:val="left"/>
        </w:tabs>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6.04.2024</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ab/>
      </w:r>
      <w:r>
        <w:rPr>
          <w:color w:val="000000"/>
          <w:spacing w:val="0"/>
          <w:w w:val="100"/>
          <w:position w:val="0"/>
          <w:shd w:val="clear" w:color="auto" w:fill="auto"/>
          <w:lang w:val="ru-RU" w:eastAsia="ru-RU" w:bidi="ru-RU"/>
        </w:rPr>
        <w:t>15351/24</w:t>
      </w:r>
      <w:bookmarkEnd w:id="0"/>
    </w:p>
    <w:p>
      <w:pPr>
        <w:spacing w:lineRule="exact" w:line="1"/>
        <w:rPr>
          <w:sz w:val="2"/>
          <w:szCs w:val="2"/>
        </w:rPr>
      </w:pPr>
      <w:r>
        <w:br w:type="column"/>
      </w:r>
    </w:p>
    <w:p>
      <w:pPr>
        <w:pStyle w:val="Style1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ГБУ «АТК»</w:t>
      </w:r>
    </w:p>
    <w:p>
      <w:pPr>
        <w:pStyle w:val="Style1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А1е8ктУА2@тападе.то8.ги</w:t>
      </w:r>
    </w:p>
    <w:p>
      <w:pPr>
        <w:pStyle w:val="Style1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ООО «Блеск»</w:t>
      </w:r>
    </w:p>
    <w:p>
      <w:pPr>
        <w:pStyle w:val="Style1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Ые8к-260@тай.ги</w:t>
      </w:r>
    </w:p>
    <w:p>
      <w:pPr>
        <w:pStyle w:val="Style12"/>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АО «ЕЭТП»</w:t>
      </w:r>
    </w:p>
    <w:p>
      <w:pPr>
        <w:pStyle w:val="Style12"/>
        <w:keepNext w:val="0"/>
        <w:keepLines w:val="0"/>
        <w:widowControl w:val="0"/>
        <w:shd w:val="clear" w:color="auto" w:fill="auto"/>
        <w:bidi w:val="0"/>
        <w:spacing w:before="0" w:after="0" w:line="240" w:lineRule="auto"/>
        <w:ind w:left="0" w:right="0" w:firstLine="0"/>
        <w:jc w:val="left"/>
        <w:sectPr>
          <w:footerReference w:type="default" r:id="rId7"/>
          <w:footnotePr>
            <w:pos w:val="pageBottom"/>
            <w:numFmt w:val="decimal"/>
            <w:numRestart w:val="continuous"/>
          </w:footnotePr>
          <w:pgSz w:w="11900" w:h="16840"/>
          <w:pgMar w:top="298" w:right="2091" w:bottom="295" w:left="1298" w:header="0" w:footer="3" w:gutter="0"/>
          <w:pgNumType w:start="1"/>
          <w:cols w:num="2" w:space="720" w:equalWidth="0">
            <w:col w:w="3806" w:space="1301"/>
            <w:col w:w="3403"/>
          </w:cols>
          <w:noEndnote/>
          <w:rtlGutter w:val="0"/>
          <w:docGrid w:linePitch="360"/>
        </w:sectPr>
      </w:pPr>
      <w:r>
        <w:rPr>
          <w:color w:val="000000"/>
          <w:spacing w:val="0"/>
          <w:w w:val="100"/>
          <w:position w:val="0"/>
          <w:shd w:val="clear" w:color="auto" w:fill="auto"/>
          <w:lang w:val="ru-RU" w:eastAsia="ru-RU" w:bidi="ru-RU"/>
        </w:rPr>
        <w:t>ко@го8екогд.ги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8" w:right="0" w:bottom="295" w:left="0" w:header="0" w:footer="3" w:gutter="0"/>
          <w:cols w:space="720"/>
          <w:noEndnote/>
          <w:rtlGutter w:val="0"/>
          <w:docGrid w:linePitch="360"/>
        </w:sectPr>
      </w:pPr>
    </w:p>
    <w:p>
      <w:pPr>
        <w:pStyle w:val="Style12"/>
        <w:keepNext w:val="0"/>
        <w:keepLines w:val="0"/>
        <w:widowControl w:val="0"/>
        <w:shd w:val="clear" w:color="auto" w:fill="auto"/>
        <w:bidi w:val="0"/>
        <w:spacing w:before="0" w:after="80"/>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tabs>
          <w:tab w:pos="8880" w:val="left"/>
        </w:tabs>
        <w:bidi w:val="0"/>
        <w:spacing w:before="0" w:after="0"/>
        <w:ind w:left="0" w:right="0" w:firstLine="0"/>
        <w:jc w:val="center"/>
      </w:pPr>
      <w:r>
        <w:rPr>
          <w:b/>
          <w:bCs/>
          <w:color w:val="000000"/>
          <w:spacing w:val="0"/>
          <w:w w:val="100"/>
          <w:position w:val="0"/>
          <w:shd w:val="clear" w:color="auto" w:fill="auto"/>
          <w:lang w:val="ru-RU" w:eastAsia="ru-RU" w:bidi="ru-RU"/>
        </w:rPr>
        <w:t>по делу №077/06/106-5039/2024 о нарушении</w:t>
        <w:br/>
        <w:t>законодательства о контрактной системе</w:t>
        <w:br/>
        <w:t>11.04.2024</w:t>
        <w:tab/>
        <w:t>г. Москва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Председательствующего: заместителя начальника отдела обжалования государственных закупок Д.С. Грешневой,</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Ведущего специалиста-эксперта разряда отдела обжалования государственных закупок Э.З. Гугава,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представителей: ГБУ «АТК»: Алешина Ю.А. (дов.№02-02-18/24 от 10.01.2024), ООО «Блеск»: Косинова Н.Н. (дов.№б/н от 10.04.2024),</w:t>
      </w:r>
    </w:p>
    <w:p>
      <w:pPr>
        <w:pStyle w:val="Style12"/>
        <w:keepNext w:val="0"/>
        <w:keepLines w:val="0"/>
        <w:widowControl w:val="0"/>
        <w:shd w:val="clear" w:color="auto" w:fill="auto"/>
        <w:bidi w:val="0"/>
        <w:spacing w:before="0" w:after="1460"/>
        <w:ind w:left="0" w:right="0" w:firstLine="700"/>
        <w:jc w:val="both"/>
      </w:pPr>
      <w:r>
        <w:rPr>
          <w:color w:val="000000"/>
          <w:spacing w:val="0"/>
          <w:w w:val="100"/>
          <w:position w:val="0"/>
          <w:shd w:val="clear" w:color="auto" w:fill="auto"/>
          <w:lang w:val="ru-RU" w:eastAsia="ru-RU" w:bidi="ru-RU"/>
        </w:rPr>
        <w:t>рассмотрев жалобу ООО «Блеск» (далее — Заявитель) на действия ГБУ «АТК» (далее — Заказчик) при проведении электронного аукциона на право заключения государственного контракта на поставку запасных частей для автомобилей марки Мегседе8-Вепх (Закупка № 0373500001324000021)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line="240" w:lineRule="auto"/>
        <w:ind w:left="0" w:right="0"/>
        <w:jc w:val="left"/>
        <w:sectPr>
          <w:footnotePr>
            <w:pos w:val="pageBottom"/>
            <w:numFmt w:val="decimal"/>
            <w:numRestart w:val="continuous"/>
          </w:footnotePr>
          <w:type w:val="continuous"/>
          <w:pgSz w:w="11900" w:h="16840"/>
          <w:pgMar w:top="298" w:right="536" w:bottom="295" w:left="1106" w:header="0" w:footer="3" w:gutter="0"/>
          <w:cols w:space="720"/>
          <w:noEndnote/>
          <w:rtlGutter w:val="0"/>
          <w:docGrid w:linePitch="360"/>
        </w:sectPr>
      </w:pPr>
      <w:bookmarkStart w:id="2" w:name="bookmark2"/>
      <w:r>
        <w:rPr>
          <w:color w:val="000000"/>
          <w:spacing w:val="0"/>
          <w:w w:val="100"/>
          <w:position w:val="0"/>
          <w:shd w:val="clear" w:color="auto" w:fill="auto"/>
          <w:lang w:val="ru-RU" w:eastAsia="ru-RU" w:bidi="ru-RU"/>
        </w:rPr>
        <w:t>||||||||||||||||||||||||||||</w:t>
      </w:r>
      <w:bookmarkEnd w:id="2"/>
    </w:p>
    <w:p>
      <w:pPr>
        <w:pStyle w:val="Style12"/>
        <w:keepNext w:val="0"/>
        <w:keepLines w:val="0"/>
        <w:widowControl w:val="0"/>
        <w:shd w:val="clear" w:color="auto" w:fill="auto"/>
        <w:bidi w:val="0"/>
        <w:spacing w:before="0" w:after="300"/>
        <w:ind w:left="0" w:right="0" w:firstLine="0"/>
        <w:jc w:val="center"/>
      </w:pP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письмом Московского УФАС России.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12"/>
        <w:keepNext w:val="0"/>
        <w:keepLines w:val="0"/>
        <w:widowControl w:val="0"/>
        <w:numPr>
          <w:ilvl w:val="0"/>
          <w:numId w:val="1"/>
        </w:numPr>
        <w:shd w:val="clear" w:color="auto" w:fill="auto"/>
        <w:tabs>
          <w:tab w:pos="1066" w:val="left"/>
        </w:tabs>
        <w:bidi w:val="0"/>
        <w:spacing w:before="0" w:after="0"/>
        <w:ind w:left="0" w:right="0" w:firstLine="700"/>
        <w:jc w:val="both"/>
      </w:pPr>
      <w:r>
        <w:rPr>
          <w:color w:val="000000"/>
          <w:spacing w:val="0"/>
          <w:w w:val="100"/>
          <w:position w:val="0"/>
          <w:shd w:val="clear" w:color="auto" w:fill="auto"/>
          <w:lang w:val="ru-RU" w:eastAsia="ru-RU" w:bidi="ru-RU"/>
        </w:rPr>
        <w:t>В составе в жалобы Заявитель указывает, что в описании объекта закупки Заказчиком установлен необоснованно короткий срок для поставки товаров, так как Заказчиком закупаются товары иностранного производства, при этом официальное представительство производителя на территории Российской Федерации не осуществляется, ввиду чего, по мнению Заявителя, Заказчику надлежит увеличить сроки поставки товара, либо предусмотреть возможность поставки эквивалентной продукции.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Заявитель отмечает, что в описании объекта закупки предусмотрено условие, согласно которому в составе заявки на поставку товара Заказчик вправе установить произвольный срок поставки товаров, в том числе, менее суток.</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 ч.2 ст.42 Закона о контрактной системе извещение об осуществлении закупки, если иное не предусмотрено Законом о контрактной системе, должно содержать проект контракта.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 ч.13 ст.34 Закона о контрактной системе в контракт включаются обязательные условия о порядке и сроках оплаты товара, работы или услуги, в том числе с учетом положений ч.13 ст.37 Закона о контрактной системе,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ст.96 Закона о контрактной системе требования обеспечения гарантийных обязательств. В случае, предусмотренном ч.24 ст.22 Закона о контрактной системе,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проектом контракта в том числе установлено: «3.3 Поставка Товара осуществляется Заказчику на условиях и в сроки, установленные Контрактом и Техническим заданием».</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Согласно п.1 ч.2 ст.42 Закона о контрактной системе извещение об </w:t>
      </w:r>
      <w:r>
        <w:rPr>
          <w:color w:val="000000"/>
          <w:spacing w:val="0"/>
          <w:w w:val="100"/>
          <w:position w:val="0"/>
          <w:shd w:val="clear" w:color="auto" w:fill="auto"/>
          <w:lang w:val="ru-RU" w:eastAsia="ru-RU" w:bidi="ru-RU"/>
        </w:rPr>
        <w:t>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пп.«а», «в»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 сопровождение такого указания словами «или эквивалент»,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описании объекта закупки Заказчиком предусмотрены в том числе следующие положения: «Поставка Товара осуществляется поставщиком партиями по заявке Заказчика с 29.04.2024 г. по 02.12.2024 г. Заявка направляется поставщику в письменной форме, по электронной почте и должна содержать наименование, количество, ассортимент и срок поставки.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Поставка партии Товара должна быть осуществлена в течение 1 (одного) рабочего дня с момента получения заявки Поставщиком, если в заявке не указан иной срок.</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Поставка товара осуществляется в рабочие дни с 9.00 до 11:00 и с 13:00 до 15.00 (время московское).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Поставщик обязан, по телефону или по электронной почте, согласовать с Заказчиком точное время и конкретную дату поставки Товара».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предметом закупки являются оригинальные запасные части для автомобилей марки «Мегседез-Вепх», находящихся в пользовании Заказчика, при этом, по мнению представителя Заказчика, в описании объекта закупки установлен разумный срок поставки необходимых товаров, так как участнику закупки представляется возможным, например, в случае необходимости, осуществить хранение необходимого к поставке перечная запасных частей, таким образом, что бы осуществить поставку на условиях извещения.</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Также представитель Заказчика пояснил, что минимальный срок поставки </w:t>
      </w:r>
      <w:r>
        <w:rPr>
          <w:color w:val="000000"/>
          <w:spacing w:val="0"/>
          <w:w w:val="100"/>
          <w:position w:val="0"/>
          <w:shd w:val="clear" w:color="auto" w:fill="auto"/>
          <w:lang w:val="ru-RU" w:eastAsia="ru-RU" w:bidi="ru-RU"/>
        </w:rPr>
        <w:t>товаров, предусмотренные извещением, составляет один рабочий день с момента получения заявки исполнителем контракта, о чем также свидетельствует указание в описании объекта закупки временных диапазонов поставки: «Поставка товара осуществляется в рабочие дни с 9.00 до 11:00 и с 13:00 до 15.00 (время московское)».</w:t>
      </w:r>
    </w:p>
    <w:p>
      <w:pPr>
        <w:pStyle w:val="Style12"/>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в составе жалобы Заявителем, а также на заседании Комиссии Управления представителем Заявителя, не представлено документов свидетельствующих об отсутствии закупаемых товаров в свободном доступе, а также об отсутствии закупаемых товаров у поставщиков таких товаров на территории Российской Федерации, таким образом на заседании Комиссии Управления не представлено документов и сведений, указывающих что установленный Заказчиком срок поставки товар является неисполнимым.</w:t>
      </w:r>
    </w:p>
    <w:p>
      <w:pPr>
        <w:pStyle w:val="Style12"/>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Вместе с тем Комиссия Управления отмечает, что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возможности при планировании закупки.</w:t>
      </w:r>
    </w:p>
    <w:p>
      <w:pPr>
        <w:pStyle w:val="Style12"/>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Таким образом, Заявителем не представлено документов и сведений, подтверждающих обоснованность довода жалобы, в части неправомерности установления срока поставки оригинальных товаров в течении одного рабочего дня со дня получения исполнителем заявки на поставку товара.</w:t>
      </w:r>
    </w:p>
    <w:p>
      <w:pPr>
        <w:pStyle w:val="Style12"/>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Ввиду чего у Комиссии Управления отсутствуют правовые основания считать Заказчика нарушившим требования Закона о контрактной системе.</w:t>
      </w:r>
    </w:p>
    <w:p>
      <w:pPr>
        <w:pStyle w:val="Style12"/>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Одновременно с этим Комиссия Управления отмечает, что в описании объекта закупки Заказчиком неправомерно предусмотрено условие, позволяющее установить срок поставки произвольным образом, при этом, вопреки пояснениям представителя Заказчика, указание в описании объекта закупки временных диапазонов поставки не свидетельствует о том, что минимальным сроком поставки является один рабочий день, так как, исходя из описания объекта закупки, Заказчик вправе установить срок поставки товара, в том числе, в несколько часов с момента направления заявки.</w:t>
      </w:r>
    </w:p>
    <w:p>
      <w:pPr>
        <w:pStyle w:val="Style12"/>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Таким образом, Комиссия Управления приходит к выводу, что в описании объекта закупки, проекте контракта, срок поставки закупаемого товара определен Заказчиком неоднозначным, противоречивым образом.</w:t>
      </w:r>
    </w:p>
    <w:p>
      <w:pPr>
        <w:pStyle w:val="Style12"/>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 xml:space="preserve">На основании вышеизложенного, Комиссия Управления приходит к выводу о нарушении Заказчиком п.1 ч.1 ст.33, п.1 ч.13 ст.34 Закона о контрактной системе, </w:t>
      </w:r>
      <w:r>
        <w:rPr>
          <w:color w:val="000000"/>
          <w:spacing w:val="0"/>
          <w:w w:val="100"/>
          <w:position w:val="0"/>
          <w:shd w:val="clear" w:color="auto" w:fill="auto"/>
          <w:lang w:val="ru-RU" w:eastAsia="ru-RU" w:bidi="ru-RU"/>
        </w:rPr>
        <w:t>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ч.1.4 ст.7.30 Кодекса Российской Федерации об административных правонарушениях.</w:t>
      </w:r>
    </w:p>
    <w:p>
      <w:pPr>
        <w:pStyle w:val="Style12"/>
        <w:keepNext w:val="0"/>
        <w:keepLines w:val="0"/>
        <w:widowControl w:val="0"/>
        <w:numPr>
          <w:ilvl w:val="0"/>
          <w:numId w:val="1"/>
        </w:numPr>
        <w:shd w:val="clear" w:color="auto" w:fill="auto"/>
        <w:tabs>
          <w:tab w:pos="1066" w:val="left"/>
        </w:tabs>
        <w:bidi w:val="0"/>
        <w:spacing w:before="0" w:after="0"/>
        <w:ind w:left="0" w:right="0" w:firstLine="700"/>
        <w:jc w:val="both"/>
      </w:pPr>
      <w:r>
        <w:rPr>
          <w:color w:val="000000"/>
          <w:spacing w:val="0"/>
          <w:w w:val="100"/>
          <w:position w:val="0"/>
          <w:shd w:val="clear" w:color="auto" w:fill="auto"/>
          <w:lang w:val="ru-RU" w:eastAsia="ru-RU" w:bidi="ru-RU"/>
        </w:rPr>
        <w:t>Также в составе жалобы Заявитель указывает, что в приложение, содержащее перечень возможных к поставке товаров, сформировано Заказчиком в нарушение положений Закона о контрактной системе, так как содержит в своем составе указание на товары, которые очевидно не относятся к запасным частям автомобиля и не являются объектом закупки.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Заявитель указывает, что часть наименований товаров указано Заказчиком с очевидными ошибками.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описании объекта закупки, в частности в структурированной форме извещения, в электронном документе «Техническое задание», указано исключительна необходимость поставки товаров, являющихся запасными частями для автомобилей марки Мегседез-Вепх.</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Одновременно с этим в описании объекта закупки указано следующее: «Закупаемые запасные части для автомобилей марки Мегседез-Вепх, указаны в Перечне запасных частей и материалов, планируемых к использованию, который приведен в Приложении № 2 к Техническому заданию на втором листе расчета НМЦК».</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отмечает, что, электронный документ «Расчет НМЦК(Д)» (Расчет НМЦ) по своей сути должен являться обоснованием начальной (максимальной) цены контракта, а не относится к описанию объекта закупки, при этом в данный электронный документ Заказчиком включена часть описания объекта закупки, в частности Приложение № 2 к техническому заданию.</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 на втором листе электронного документа «Расчет НМЦК(Д)» (Расчет НМЦ) в рамках Приложения №2 к техническому заданию «Перечень запасных частей, планируемых к использованию для автомобилей марки Мегседез-Вепх» Заказчиком указаны товары, не предусмотренные как описанием объекта закупки в структурированной форме, так и описанием объекта закупки в электронном документе «Техническое задание».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Например, в рамках Приложения №2 к техническому заданию, содержится указание на такие товары как: «флажок автомобильный», «часы - хронограф мужские с синим ремешком и серебристым циферблатом», «часы наручные стальные 81», «календарь настенный», «кожаный чехол для ЛиРосЬ Рго чёрный», часы настенные», кроме того указано на наименования фактически не существующих товаров например «эьблема».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На заседании Комиссии Управления представитель Заказчика пояснил, что в рамках данной закупочной процедуры осуществляется исключительно закупка запасных частей для автомобилей, при этом в приложении «Перечень запасных частей, планируемых к использованию для автомобилей марки Мегседез-Вепх» указан весь перечень товаров, предусмотренных каталогом производителя автомобилей марки «Мегседез-Вепх», однако поставке необходимы </w:t>
      </w:r>
      <w:r>
        <w:rPr>
          <w:color w:val="000000"/>
          <w:spacing w:val="0"/>
          <w:w w:val="100"/>
          <w:position w:val="0"/>
          <w:shd w:val="clear" w:color="auto" w:fill="auto"/>
          <w:lang w:val="ru-RU" w:eastAsia="ru-RU" w:bidi="ru-RU"/>
        </w:rPr>
        <w:t>исключительно запасные части автомобилей, а не аксессуары или иные товары, не относящиеся к запасным частям.</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Также представитель Заказчика отметил, что в спорном приложении предусмотрены артикулы запасных частей, что позволяет идентифицировать товары при указании наименования товара с ошибкой.</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отмечает, что положения извещения должны быть сформированы однозначным образом не допускать двоякого трактования, более того, размещение в составе извещения сведений о не относящихся к объекту закупки товарах является неправомерным и может повлечь за собой введение участников закупки в заблуждение, поскольку приложения к техническому заданию также являются частью описания объекта закупки.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 в данном случае, извещением установлено, что к поставе требуются запасные части для автомобилей (Начальная сумма цен товара, работы, услуги: 11 358 629 802,80 руб.), в тоже время, техническим заданием установлено, что к поставке требуются запасные части и материалы приведённые в в Приложении № 2 к Техническому заданию, в свою очередь Приложением № 2 к Техническому заданию предусмотрен более широкий перечень товаров, чем в извещении и в техническом задании, в который включены не только запасные части для автомобилей, но и иные товары, с суммой цен аналогичной извещению: 11 358 629 802,80 руб.</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формировании Заказчиком неправомерного описания объекта закупки и о нарушении Заказчиком п.1 ч.1 ст.33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ч.1.4 ст.7.30 Кодекса Российской Федерации об административных правонарушениях.</w:t>
      </w:r>
    </w:p>
    <w:p>
      <w:pPr>
        <w:pStyle w:val="Style12"/>
        <w:keepNext w:val="0"/>
        <w:keepLines w:val="0"/>
        <w:widowControl w:val="0"/>
        <w:numPr>
          <w:ilvl w:val="0"/>
          <w:numId w:val="1"/>
        </w:numPr>
        <w:shd w:val="clear" w:color="auto" w:fill="auto"/>
        <w:tabs>
          <w:tab w:pos="1066" w:val="left"/>
        </w:tabs>
        <w:bidi w:val="0"/>
        <w:spacing w:before="0" w:after="0"/>
        <w:ind w:left="0" w:right="0" w:firstLine="700"/>
        <w:jc w:val="both"/>
      </w:pPr>
      <w:r>
        <w:rPr>
          <w:color w:val="000000"/>
          <w:spacing w:val="0"/>
          <w:w w:val="100"/>
          <w:position w:val="0"/>
          <w:shd w:val="clear" w:color="auto" w:fill="auto"/>
          <w:lang w:val="ru-RU" w:eastAsia="ru-RU" w:bidi="ru-RU"/>
        </w:rPr>
        <w:t>Также в составе жалобы Заявитель указывает, что разъяснения положений извещения об осуществлении закупки размещены Заказчиком в нарушение норм ч.5 ст.42 Закона о контрактной системе.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Согласно ч.5 ст.42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w:t>
      </w:r>
      <w:r>
        <w:rPr>
          <w:color w:val="000000"/>
          <w:spacing w:val="0"/>
          <w:w w:val="100"/>
          <w:position w:val="0"/>
          <w:shd w:val="clear" w:color="auto" w:fill="auto"/>
          <w:lang w:val="ru-RU" w:eastAsia="ru-RU" w:bidi="ru-RU"/>
        </w:rPr>
        <w:t>участника закупки, от которого поступил такой запрос. Такие разъяснения не должны изменять суть извещения об осуществлении закупки.</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Комиссией Управления установлено, что 05.04.2024 Заказчиком в составе извещения размещены разъяснения положений извещения об осуществлении закупки №РИ2 со следующим содержанием:</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 </w:t>
      </w:r>
      <w:r>
        <w:rPr>
          <w:i/>
          <w:iCs/>
          <w:color w:val="000000"/>
          <w:spacing w:val="0"/>
          <w:w w:val="100"/>
          <w:position w:val="0"/>
          <w:shd w:val="clear" w:color="auto" w:fill="auto"/>
          <w:lang w:val="ru-RU" w:eastAsia="ru-RU" w:bidi="ru-RU"/>
        </w:rPr>
        <w:t>Текст запроса:</w:t>
      </w:r>
    </w:p>
    <w:p>
      <w:pPr>
        <w:pStyle w:val="Style12"/>
        <w:keepNext w:val="0"/>
        <w:keepLines w:val="0"/>
        <w:widowControl w:val="0"/>
        <w:shd w:val="clear" w:color="auto" w:fill="auto"/>
        <w:bidi w:val="0"/>
        <w:spacing w:before="0" w:after="0"/>
        <w:ind w:left="0" w:right="0" w:firstLine="720"/>
        <w:jc w:val="both"/>
      </w:pPr>
      <w:r>
        <w:rPr>
          <w:b/>
          <w:bCs/>
          <w:i/>
          <w:iCs/>
          <w:color w:val="000000"/>
          <w:spacing w:val="0"/>
          <w:w w:val="100"/>
          <w:position w:val="0"/>
          <w:shd w:val="clear" w:color="auto" w:fill="auto"/>
          <w:lang w:val="ru-RU" w:eastAsia="ru-RU" w:bidi="ru-RU"/>
        </w:rPr>
        <w:t>Внешний файл.</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Ответ:</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Уважаемый участник, в ответ на ваш запрос сообщаем следующее.</w:t>
      </w:r>
    </w:p>
    <w:p>
      <w:pPr>
        <w:pStyle w:val="Style12"/>
        <w:keepNext w:val="0"/>
        <w:keepLines w:val="0"/>
        <w:widowControl w:val="0"/>
        <w:numPr>
          <w:ilvl w:val="0"/>
          <w:numId w:val="3"/>
        </w:numPr>
        <w:shd w:val="clear" w:color="auto" w:fill="auto"/>
        <w:tabs>
          <w:tab w:pos="1050" w:val="left"/>
        </w:tabs>
        <w:bidi w:val="0"/>
        <w:spacing w:before="0" w:after="0"/>
        <w:ind w:left="0" w:right="0" w:firstLine="720"/>
        <w:jc w:val="both"/>
      </w:pPr>
      <w:r>
        <w:rPr>
          <w:i/>
          <w:iCs/>
          <w:color w:val="000000"/>
          <w:spacing w:val="0"/>
          <w:w w:val="100"/>
          <w:position w:val="0"/>
          <w:shd w:val="clear" w:color="auto" w:fill="auto"/>
          <w:lang w:val="ru-RU" w:eastAsia="ru-RU" w:bidi="ru-RU"/>
        </w:rPr>
        <w:t>Вопрос № 1: будут ли Вами внесены изменения в ТЗ в части формулировки сроков осуществления поставок, если будут, то в течение какого времени?</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Изменения в документацию в части формирования сроков осуществления поставок внесены не будут, т.к. автотранспортное обслуживание является основной уставной деятельностью предприятия. Выпуск автомобилей на линию должен происходить в кратчайшие сроки, в связи с чем минимальный срок поставки товара составляет 1 рабочий день с момента получения заявки поставщиком.</w:t>
      </w:r>
    </w:p>
    <w:p>
      <w:pPr>
        <w:pStyle w:val="Style12"/>
        <w:keepNext w:val="0"/>
        <w:keepLines w:val="0"/>
        <w:widowControl w:val="0"/>
        <w:numPr>
          <w:ilvl w:val="0"/>
          <w:numId w:val="3"/>
        </w:numPr>
        <w:shd w:val="clear" w:color="auto" w:fill="auto"/>
        <w:tabs>
          <w:tab w:pos="1074" w:val="left"/>
        </w:tabs>
        <w:bidi w:val="0"/>
        <w:spacing w:before="0" w:after="0"/>
        <w:ind w:left="0" w:right="0" w:firstLine="720"/>
        <w:jc w:val="both"/>
      </w:pPr>
      <w:r>
        <w:rPr>
          <w:i/>
          <w:iCs/>
          <w:color w:val="000000"/>
          <w:spacing w:val="0"/>
          <w:w w:val="100"/>
          <w:position w:val="0"/>
          <w:shd w:val="clear" w:color="auto" w:fill="auto"/>
          <w:lang w:val="ru-RU" w:eastAsia="ru-RU" w:bidi="ru-RU"/>
        </w:rPr>
        <w:t>Вопрос № 2: будут ли Вами внесены изменения в документацию в части устранения ошибок и опечаток в наименованиях товаров, если будут, то в течение какого времени?</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Ключевым значением номенклатуры является оригинальный каталожный номер производителя товара, именно по нему идет подбор, заказ и поставка товара. Описательная часть носит информационный характер и может содержать разночтения при переводе на разные языки.</w:t>
      </w:r>
    </w:p>
    <w:p>
      <w:pPr>
        <w:pStyle w:val="Style12"/>
        <w:keepNext w:val="0"/>
        <w:keepLines w:val="0"/>
        <w:widowControl w:val="0"/>
        <w:numPr>
          <w:ilvl w:val="0"/>
          <w:numId w:val="3"/>
        </w:numPr>
        <w:shd w:val="clear" w:color="auto" w:fill="auto"/>
        <w:tabs>
          <w:tab w:pos="1050" w:val="left"/>
        </w:tabs>
        <w:bidi w:val="0"/>
        <w:spacing w:before="0" w:after="0"/>
        <w:ind w:left="0" w:right="0" w:firstLine="720"/>
        <w:jc w:val="both"/>
      </w:pPr>
      <w:r>
        <w:rPr>
          <w:i/>
          <w:iCs/>
          <w:color w:val="000000"/>
          <w:spacing w:val="0"/>
          <w:w w:val="100"/>
          <w:position w:val="0"/>
          <w:shd w:val="clear" w:color="auto" w:fill="auto"/>
          <w:lang w:val="ru-RU" w:eastAsia="ru-RU" w:bidi="ru-RU"/>
        </w:rPr>
        <w:t>Вопрос № 3: будут ли Вами внесены изменения в документацию в части исключения товаров, не производимых заводом изготовителем авто либо явно неиспользуемых на транспортных средствах, а также не относящихся к группам товаров, выбранных Заказчиком, если будут, то в течение какого времени?</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Представительство Мерседес-Бенц РУС предоставляет полный каталог продукции бренда Мерседес-Бенц, который используется при создании спецификаций к техническому заданию. Заказчик не может спрогнозировать поломки в эксплуатируемых автомобилях, в связи с чем не может указать конкретную потребность в запасных частях в течение всего срока действия договора.</w:t>
      </w:r>
    </w:p>
    <w:p>
      <w:pPr>
        <w:pStyle w:val="Style12"/>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Дополнительно сообщаем, что в рамках заключаемого контракта, будет осуществляться только поставка запасных частей и технической возможности разделить запчасти от аксессуаров нет</w:t>
      </w:r>
      <w:r>
        <w:rPr>
          <w:color w:val="000000"/>
          <w:spacing w:val="0"/>
          <w:w w:val="100"/>
          <w:position w:val="0"/>
          <w:shd w:val="clear" w:color="auto" w:fill="auto"/>
          <w:lang w:val="ru-RU" w:eastAsia="ru-RU" w:bidi="ru-RU"/>
        </w:rPr>
        <w:t>».</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 этом Комиссией Управления установлено, что внешний файл, содержащий текст запроса участника закупки, не размещен в составе извещения.</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Заказчиком размещены разъяснения положений извещения об осуществлении закупки без указания предмета запроса.</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На основании вышеизложенного, Комиссия Управления приходит к выводу о нарушении Заказчиком ч.5 ст.42 Закона о контрактной системе, что также </w:t>
      </w:r>
      <w:r>
        <w:rPr>
          <w:color w:val="000000"/>
          <w:spacing w:val="0"/>
          <w:w w:val="100"/>
          <w:position w:val="0"/>
          <w:shd w:val="clear" w:color="auto" w:fill="auto"/>
          <w:lang w:val="ru-RU" w:eastAsia="ru-RU" w:bidi="ru-RU"/>
        </w:rPr>
        <w:t>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ч.1.4 ст.7.30 Кодекса Российской Федерации об административных правонарушениях.</w:t>
      </w:r>
    </w:p>
    <w:p>
      <w:pPr>
        <w:pStyle w:val="Style12"/>
        <w:keepNext w:val="0"/>
        <w:keepLines w:val="0"/>
        <w:widowControl w:val="0"/>
        <w:numPr>
          <w:ilvl w:val="0"/>
          <w:numId w:val="3"/>
        </w:numPr>
        <w:shd w:val="clear" w:color="auto" w:fill="auto"/>
        <w:tabs>
          <w:tab w:pos="1042" w:val="left"/>
        </w:tabs>
        <w:bidi w:val="0"/>
        <w:spacing w:before="0" w:after="0"/>
        <w:ind w:left="0" w:right="0" w:firstLine="700"/>
        <w:jc w:val="both"/>
      </w:pPr>
      <w:r>
        <w:rPr>
          <w:color w:val="000000"/>
          <w:spacing w:val="0"/>
          <w:w w:val="100"/>
          <w:position w:val="0"/>
          <w:shd w:val="clear" w:color="auto" w:fill="auto"/>
          <w:lang w:val="ru-RU" w:eastAsia="ru-RU" w:bidi="ru-RU"/>
        </w:rPr>
        <w:t>Также в составе жалобы Заявитель указывает, что в описании объекта закупки Заказчиком неправомерно установлено требование о необходимости наличия в сведениях о маркировке товара указания на наименование товара, а также артикул товара, в соответствии с приложением «Перечень запасных частей, планируемых к использованию для автомобилей марки Мегседез-Вепх», в то время как наименования товаров указаны в данном приложении некорректно.</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в описании объекта закупки в том числе указано следующее положения:</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«5 Требования к используемым материалам и оборудованию</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Товар должен поставляться в фирменной упаковке, иметь необходимые маркировки, наклейки, пломбы, штрих-коды, защитные этикетки, голограммы.</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Упаковка и маркировка товара должны соответствовать требованиям законодательства Российской Федерации, а упаковка и маркировка импортного товара - международным стандартам упаковки.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Маркировка Товара должна содержать: наименование изделия, оригинальный каталожный номер детали, товарный знак (логотип) производителя соответствующей марки автомобиля, наименование изготовителя, место нахождения изготовителя, дату выпуска и гарантийный срок службы.</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Упаковка должна обеспечивать сохранность товара при транспортировке и погрузо-разгрузочных работах к конечному месту эксплуатации. Упаковка (тара) не должна иметь внешних дефектов и следов вскрытия. Упаковка (тара) является одноразовой, возврату поставщику не подлежит.</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Стоимость упаковки Товара входит в цену Товара и отдельно не оплачивается.</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Поставщик доставляет Товар Заказчику собственным транспортом или с привлечением транспорта третьих лиц за свой счет. Все виды погрузо- 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отмечает, что в описании объекта закупки не содержится указания на необходимость поставки товара с маркировкой, содержащей указание наименования и артикула товара в соответствии с приложением «Перечень запасных частей, планируемых к использованию для автомобилей марки Мегседез-Вепх».</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данный довод жалобы не основан на положениях извещения, ввиду чего не нашел своего подтверждения и является необоснованным.</w:t>
      </w:r>
    </w:p>
    <w:p>
      <w:pPr>
        <w:pStyle w:val="Style12"/>
        <w:keepNext w:val="0"/>
        <w:keepLines w:val="0"/>
        <w:widowControl w:val="0"/>
        <w:numPr>
          <w:ilvl w:val="0"/>
          <w:numId w:val="3"/>
        </w:numPr>
        <w:shd w:val="clear" w:color="auto" w:fill="auto"/>
        <w:tabs>
          <w:tab w:pos="1037" w:val="left"/>
        </w:tabs>
        <w:bidi w:val="0"/>
        <w:spacing w:before="0" w:after="0"/>
        <w:ind w:left="0" w:right="0" w:firstLine="700"/>
        <w:jc w:val="both"/>
      </w:pPr>
      <w:r>
        <w:rPr>
          <w:color w:val="000000"/>
          <w:spacing w:val="0"/>
          <w:w w:val="100"/>
          <w:position w:val="0"/>
          <w:shd w:val="clear" w:color="auto" w:fill="auto"/>
          <w:lang w:val="ru-RU" w:eastAsia="ru-RU" w:bidi="ru-RU"/>
        </w:rPr>
        <w:t xml:space="preserve">также в составе жалобы Заявитель указывает, что в описании объекта закупки Заказчиком неправомерно не указаны конкретные марки автомобилей с «УСЫ» номерами таких автомобилей, что не позволяет определить автомобили, к которым закупаются запасные части и надлежащим образом идентифицировать </w:t>
      </w:r>
      <w:r>
        <w:rPr>
          <w:color w:val="000000"/>
          <w:spacing w:val="0"/>
          <w:w w:val="100"/>
          <w:position w:val="0"/>
          <w:shd w:val="clear" w:color="auto" w:fill="auto"/>
          <w:lang w:val="ru-RU" w:eastAsia="ru-RU" w:bidi="ru-RU"/>
        </w:rPr>
        <w:t>необходимые к поставки запасные части.</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сведения об автомобилях не публиковались Заказчиком, так как для идентификации необходимых запасных частей в извещении указан артикулы таких запасных частей.</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Управления отмечает, что наличие у товара артикула позволяет однозначным образом идентифицировать необходимые к поставке товары, так как такие артикулы являются уникальным цифровым или буквенным обозначением товара.</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Также Комиссия Управления отмечает, что на заседании Комиссии Управления представителем Заявителя, а также в составе жалобы Заявителем не представлено документов и сведений, свидетельствующих о невозможности поставки товара в отсутствие указания конкретных марок, «УСЫ» номеров автомобилей, к которым закупаются запасные части.</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На основании изложенного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вышеуказанный довод Заявителя не нашел своего подтверждения и является необоснованным.</w:t>
      </w:r>
    </w:p>
    <w:p>
      <w:pPr>
        <w:pStyle w:val="Style12"/>
        <w:keepNext w:val="0"/>
        <w:keepLines w:val="0"/>
        <w:widowControl w:val="0"/>
        <w:numPr>
          <w:ilvl w:val="0"/>
          <w:numId w:val="3"/>
        </w:numPr>
        <w:shd w:val="clear" w:color="auto" w:fill="auto"/>
        <w:tabs>
          <w:tab w:pos="1004" w:val="left"/>
        </w:tabs>
        <w:bidi w:val="0"/>
        <w:spacing w:before="0" w:after="0"/>
        <w:ind w:left="0" w:right="0" w:firstLine="720"/>
        <w:jc w:val="both"/>
      </w:pPr>
      <w:r>
        <w:rPr>
          <w:color w:val="000000"/>
          <w:spacing w:val="0"/>
          <w:w w:val="100"/>
          <w:position w:val="0"/>
          <w:shd w:val="clear" w:color="auto" w:fill="auto"/>
          <w:lang w:val="ru-RU" w:eastAsia="ru-RU" w:bidi="ru-RU"/>
        </w:rPr>
        <w:t>Одновременно с этим ходе проведения внеплановой проверки Комиссией Управления установлено следующее.</w:t>
      </w:r>
    </w:p>
    <w:p>
      <w:pPr>
        <w:pStyle w:val="Style12"/>
        <w:keepNext w:val="0"/>
        <w:keepLines w:val="0"/>
        <w:widowControl w:val="0"/>
        <w:numPr>
          <w:ilvl w:val="1"/>
          <w:numId w:val="3"/>
        </w:numPr>
        <w:shd w:val="clear" w:color="auto" w:fill="auto"/>
        <w:tabs>
          <w:tab w:pos="1258" w:val="left"/>
        </w:tabs>
        <w:bidi w:val="0"/>
        <w:spacing w:before="0" w:after="0"/>
        <w:ind w:left="0" w:right="0" w:firstLine="720"/>
        <w:jc w:val="both"/>
      </w:pPr>
      <w:r>
        <w:rPr>
          <w:color w:val="000000"/>
          <w:spacing w:val="0"/>
          <w:w w:val="100"/>
          <w:position w:val="0"/>
          <w:shd w:val="clear" w:color="auto" w:fill="auto"/>
          <w:lang w:val="ru-RU" w:eastAsia="ru-RU" w:bidi="ru-RU"/>
        </w:rPr>
        <w:t>Согласно п.22 ч.1 ст.42 Закона о контрактной системе извещение об осуществлении закупки должно содержать дату окончания срока рассмотрения и оценки первых частей заявок на участие в закупке (в случае проведения электронного конкурса, за исключением случая, предусмотренного ч.19 ст.48 Закона о контрактной системе), дату окончания срока рассмотрения и оценки вторых частей заявок на участие в закупке (в случае проведения электронного конкурса), дату окончания срока рассмотрения заявок (в случае проведения закрытого аукциона), дату подведения итогов определения поставщика (подрядчика, исполнителя) в соответствии с Законом о контрактной системе.</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Комиссией Управления установлено, что в извещении об осуществлении закупки Заказчиком в том числе указано: «Дата подведения итогов определения поставщика (подрядчика, исполнителя): 10.04.2024».</w:t>
      </w:r>
    </w:p>
    <w:p>
      <w:pPr>
        <w:pStyle w:val="Style1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Согласно п.2 ч.5 ст.49 Закона о контрактной системе не позднее двух рабочих дней со дня, следующего за датой окончания срока подачи заявок на участие в закупке, </w:t>
      </w:r>
      <w:r>
        <w:rPr>
          <w:i/>
          <w:iCs/>
          <w:color w:val="000000"/>
          <w:spacing w:val="0"/>
          <w:w w:val="100"/>
          <w:position w:val="0"/>
          <w:shd w:val="clear" w:color="auto" w:fill="auto"/>
          <w:lang w:val="ru-RU" w:eastAsia="ru-RU" w:bidi="ru-RU"/>
        </w:rPr>
        <w:t>но не позднее даты подведения итогов определения поставщика (подрядчика, исполнителя), установленной в извещении</w:t>
      </w:r>
      <w:r>
        <w:rPr>
          <w:color w:val="000000"/>
          <w:spacing w:val="0"/>
          <w:w w:val="100"/>
          <w:position w:val="0"/>
          <w:shd w:val="clear" w:color="auto" w:fill="auto"/>
          <w:lang w:val="ru-RU" w:eastAsia="ru-RU" w:bidi="ru-RU"/>
        </w:rPr>
        <w:t xml:space="preserve">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п.1, 2, 4 - 7 ч.17 ст.48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w:t>
      </w:r>
      <w:r>
        <w:rPr>
          <w:color w:val="000000"/>
          <w:spacing w:val="0"/>
          <w:w w:val="100"/>
          <w:position w:val="0"/>
          <w:shd w:val="clear" w:color="auto" w:fill="auto"/>
          <w:lang w:val="ru-RU" w:eastAsia="ru-RU" w:bidi="ru-RU"/>
        </w:rPr>
        <w:t>действовать от имени заказчика, и направляет оператору электронной площадки.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этим Комиссией Управления, в том числе посредством ГИС «Независимый регистратор», установлено, что протокол подведения итогов определения поставщика (подрядчика, исполнителя) №ИЭА1 сформирован, подписан и направлен оператору 11.04.2024, то есть за сроком, установленным п.2 ч.5 ст.49 Закона о контрактной системе.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п.2 ч.5 ст.49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ч.1.4 ст.7.30 Кодекса Российской Федерации об административных правонарушениях.</w:t>
      </w:r>
    </w:p>
    <w:p>
      <w:pPr>
        <w:pStyle w:val="Style12"/>
        <w:keepNext w:val="0"/>
        <w:keepLines w:val="0"/>
        <w:widowControl w:val="0"/>
        <w:numPr>
          <w:ilvl w:val="1"/>
          <w:numId w:val="3"/>
        </w:numPr>
        <w:shd w:val="clear" w:color="auto" w:fill="auto"/>
        <w:tabs>
          <w:tab w:pos="1258" w:val="left"/>
        </w:tabs>
        <w:bidi w:val="0"/>
        <w:spacing w:before="0" w:after="0"/>
        <w:ind w:left="0" w:right="0" w:firstLine="700"/>
        <w:jc w:val="both"/>
      </w:pPr>
      <w:r>
        <w:rPr>
          <w:color w:val="000000"/>
          <w:spacing w:val="0"/>
          <w:w w:val="100"/>
          <w:position w:val="0"/>
          <w:shd w:val="clear" w:color="auto" w:fill="auto"/>
          <w:lang w:val="ru-RU" w:eastAsia="ru-RU" w:bidi="ru-RU"/>
        </w:rPr>
        <w:t>Помимо вышеуказанного Комиссией Управления также установлено следующее.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п.9 ч.1. ст.42 Закона о контрактной системе извещение об осуществлении закупки должно содержать сведения о начальной (максимальная) цене контракта (цена отдельных этапов исполнения контракта, если проектом контракта предусмотрены такие этапы), источнике финансирования, наименовании валюты в соответствии с общероссийским классификатором валют. В случае, предусмотренном ч.24 ст.22 Закона о контрактной системе,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ч.2 ст.34 Закона о контрактной системе, указываются ориентировочное значение цены контракта либо формула цены и максимальное значение цены контракта.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ч.24 ст.22 Закона о контрактной системе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ст.19 Закона о контрактной системе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Закона о контрактной системе,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Законом о контрактной системе не установлено иное.</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Комиссией Управления установлено, что, согласно извещению об осуществлении закупки, конкурентная процедура осуществляется Заказчиком в соответствии с ч.24 ст.22 Закона о контрактной системе, при этом начальная цена единицы товара каждой товарной позиции составляет 1 419 828 725,35 руб., </w:t>
      </w:r>
      <w:r>
        <w:rPr>
          <w:color w:val="000000"/>
          <w:spacing w:val="0"/>
          <w:w w:val="100"/>
          <w:position w:val="0"/>
          <w:shd w:val="clear" w:color="auto" w:fill="auto"/>
          <w:lang w:val="ru-RU" w:eastAsia="ru-RU" w:bidi="ru-RU"/>
        </w:rPr>
        <w:t>начальная сумма цен указанных единиц составляет 11 358 629 802,80 руб., в то время как максимальное значение цены контракта определено извещением как 2 830 000,00 руб.</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соответствии с ч.2 и ч.3 ст.49 Закона о контрактной системе в ходе подачи ценовых предложений снижается именно начальная сумма цен единиц товаров, ввиду чего, при заключении и исполнении контракта будут снижены именно цены указанные в Приложении № 2 к Техническому заданию, в свою очередь начальные цены единиц товара указанные в извещении не отражают действительные начальные цены товаров и являются укрупнёнными и поделены по 8 видам расходных материалов (система выпуска отработанных газов двигателя для легкового автомобиля, узлы и детали кабин (кузовов) для легкового автомобиля, узлы и детали подвески для легкового автомобиля и т.д.).</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не может согласится с данными пояснениями как со свидетельствующими о корректности и правомерности отражения информации предусмотренной п.9 ч.1 ст.42 Закона о контрактной системе поскольку, ч.24 ст.22 Закона о контрактной системе однозначно установлено, что в извещении должна содержаться начальная цена единицы товара, а не укрупнённая сумма цен видов расходных материалов.</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Более того, как было установлено ранее, Приложение № 2 к Техническому заданию содержит в себе помимо запасных частей к автомобилям также и товары к ним не относящиеся, при этом указанная в данном приложении сумма стоимости всех перечисленных в нём товаров аналогична начальной сумме цен указанных единиц.</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тем, в силу ч.1 ст.34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Исходя из вышеизложенного Комиссия Управления приходит к выводу, что сведения, предусмотренные п.9 ч.1 ст.42 Закона о контрактной системе, размещены Заказчиком, очевидно, некорректным образом, так как цена каждой товарной позиции превышает максимальное значение цены контракта.</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п.9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частью ч.1.4 ст.7.30 Кодекса Российской Федерации об административных правонарушениях.</w:t>
      </w:r>
      <w:r>
        <w:br w:type="page"/>
      </w:r>
    </w:p>
    <w:p>
      <w:pPr>
        <w:pStyle w:val="Style12"/>
        <w:keepNext w:val="0"/>
        <w:keepLines w:val="0"/>
        <w:widowControl w:val="0"/>
        <w:shd w:val="clear" w:color="auto" w:fill="auto"/>
        <w:bidi w:val="0"/>
        <w:spacing w:before="0" w:after="64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2"/>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12"/>
        <w:keepNext w:val="0"/>
        <w:keepLines w:val="0"/>
        <w:widowControl w:val="0"/>
        <w:numPr>
          <w:ilvl w:val="0"/>
          <w:numId w:val="5"/>
        </w:numPr>
        <w:shd w:val="clear" w:color="auto" w:fill="auto"/>
        <w:tabs>
          <w:tab w:pos="1411" w:val="left"/>
        </w:tabs>
        <w:bidi w:val="0"/>
        <w:spacing w:before="0" w:after="0"/>
        <w:ind w:left="0" w:right="0" w:firstLine="700"/>
        <w:jc w:val="both"/>
      </w:pPr>
      <w:r>
        <w:rPr>
          <w:color w:val="000000"/>
          <w:spacing w:val="0"/>
          <w:w w:val="100"/>
          <w:position w:val="0"/>
          <w:shd w:val="clear" w:color="auto" w:fill="auto"/>
          <w:lang w:val="ru-RU" w:eastAsia="ru-RU" w:bidi="ru-RU"/>
        </w:rPr>
        <w:t>Признать жалобу ООО «Блеск» на действия ГБУ «АТК» обоснованной в части.</w:t>
      </w:r>
    </w:p>
    <w:p>
      <w:pPr>
        <w:pStyle w:val="Style12"/>
        <w:keepNext w:val="0"/>
        <w:keepLines w:val="0"/>
        <w:widowControl w:val="0"/>
        <w:numPr>
          <w:ilvl w:val="0"/>
          <w:numId w:val="5"/>
        </w:numPr>
        <w:shd w:val="clear" w:color="auto" w:fill="auto"/>
        <w:tabs>
          <w:tab w:pos="1411" w:val="left"/>
        </w:tabs>
        <w:bidi w:val="0"/>
        <w:spacing w:before="0" w:after="0"/>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п.1 ч.1 ст.33, п.1 ч.13 ст.34 , п.9 ч.1 ст.42, ч.5 ст.42, п.2 ч.5 ст.49 Закона о контрактной системе.</w:t>
      </w:r>
    </w:p>
    <w:p>
      <w:pPr>
        <w:pStyle w:val="Style12"/>
        <w:keepNext w:val="0"/>
        <w:keepLines w:val="0"/>
        <w:widowControl w:val="0"/>
        <w:numPr>
          <w:ilvl w:val="0"/>
          <w:numId w:val="5"/>
        </w:numPr>
        <w:shd w:val="clear" w:color="auto" w:fill="auto"/>
        <w:tabs>
          <w:tab w:pos="1411" w:val="left"/>
        </w:tabs>
        <w:bidi w:val="0"/>
        <w:spacing w:before="0" w:after="0"/>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12"/>
        <w:keepNext w:val="0"/>
        <w:keepLines w:val="0"/>
        <w:widowControl w:val="0"/>
        <w:numPr>
          <w:ilvl w:val="0"/>
          <w:numId w:val="5"/>
        </w:numPr>
        <w:shd w:val="clear" w:color="auto" w:fill="auto"/>
        <w:tabs>
          <w:tab w:pos="1411" w:val="left"/>
        </w:tabs>
        <w:bidi w:val="0"/>
        <w:spacing w:before="0" w:after="300"/>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2"/>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8"/>
          <w:footerReference w:type="default" r:id="rId9"/>
          <w:footnotePr>
            <w:pos w:val="pageBottom"/>
            <w:numFmt w:val="decimal"/>
            <w:numRestart w:val="continuous"/>
          </w:footnotePr>
          <w:pgSz w:w="11900" w:h="16840"/>
          <w:pgMar w:top="826" w:right="535" w:bottom="1076" w:left="1097" w:header="0" w:footer="3" w:gutter="0"/>
          <w:cols w:space="720"/>
          <w:noEndnote/>
          <w:rtlGutter w:val="0"/>
          <w:docGrid w:linePitch="360"/>
        </w:sectPr>
      </w:pPr>
      <w:r>
        <mc:AlternateContent>
          <mc:Choice Requires="wps">
            <w:drawing>
              <wp:anchor distT="139700" distB="201295" distL="0" distR="0" simplePos="0" relativeHeight="125829378" behindDoc="0" locked="0" layoutInCell="1" allowOverlap="1">
                <wp:simplePos x="0" y="0"/>
                <wp:positionH relativeFrom="page">
                  <wp:posOffset>732155</wp:posOffset>
                </wp:positionH>
                <wp:positionV relativeFrom="paragraph">
                  <wp:posOffset>139700</wp:posOffset>
                </wp:positionV>
                <wp:extent cx="1896110" cy="252730"/>
                <wp:wrapTopAndBottom/>
                <wp:docPr id="8" name="Shape 8"/>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4" type="#_x0000_t202" style="position:absolute;margin-left:57.649999999999999pt;margin-top:11.pt;width:149.30000000000001pt;height:19.900000000000002pt;z-index:-125829375;mso-wrap-distance-left:0;mso-wrap-distance-top:11.pt;mso-wrap-distance-right:0;mso-wrap-distance-bottom:15.8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31140" distB="0" distL="0" distR="1807210" simplePos="0" relativeHeight="125829380" behindDoc="0" locked="0" layoutInCell="1" allowOverlap="1">
            <wp:simplePos x="0" y="0"/>
            <wp:positionH relativeFrom="page">
              <wp:posOffset>3128010</wp:posOffset>
            </wp:positionH>
            <wp:positionV relativeFrom="paragraph">
              <wp:posOffset>231140</wp:posOffset>
            </wp:positionV>
            <wp:extent cx="311150" cy="365760"/>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0"/>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3521075</wp:posOffset>
                </wp:positionH>
                <wp:positionV relativeFrom="paragraph">
                  <wp:posOffset>300990</wp:posOffset>
                </wp:positionV>
                <wp:extent cx="1725295" cy="255905"/>
                <wp:wrapNone/>
                <wp:docPr id="12" name="Shape 1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77.25pt;margin-top:23.699999999999999pt;width:135.84999999999999pt;height:20.15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01295" distL="0" distR="0" simplePos="0" relativeHeight="125829381" behindDoc="0" locked="0" layoutInCell="1" allowOverlap="1">
                <wp:simplePos x="0" y="0"/>
                <wp:positionH relativeFrom="page">
                  <wp:posOffset>6084570</wp:posOffset>
                </wp:positionH>
                <wp:positionV relativeFrom="paragraph">
                  <wp:posOffset>139700</wp:posOffset>
                </wp:positionV>
                <wp:extent cx="1134110" cy="252730"/>
                <wp:wrapTopAndBottom/>
                <wp:docPr id="14" name="Shape 14"/>
                <a:graphic xmlns:a="http://schemas.openxmlformats.org/drawingml/2006/main">
                  <a:graphicData uri="http://schemas.microsoft.com/office/word/2010/wordprocessingShape">
                    <wps:wsp>
                      <wps:cNvSpPr txBox="1"/>
                      <wps:spPr>
                        <a:xfrm>
                          <a:ext cx="113411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0" type="#_x0000_t202" style="position:absolute;margin-left:479.10000000000002pt;margin-top:11.pt;width:89.299999999999997pt;height:19.900000000000002pt;z-index:-125829372;mso-wrap-distance-left:0;mso-wrap-distance-top:11.pt;mso-wrap-distance-right:0;mso-wrap-distance-bottom:15.8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Грешнева Дарья Сергеевна</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067961ЕЕ87Е758АЕ5АСО096СЕ0АЕ9125</w:t>
      </w:r>
    </w:p>
    <w:p>
      <w:pPr>
        <w:pStyle w:val="Style25"/>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16.03.2023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08.06.2024</w:t>
      </w:r>
    </w:p>
    <w:p>
      <w:pPr>
        <w:pStyle w:val="Style12"/>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395" w:line="240" w:lineRule="auto"/>
        <w:ind w:left="0" w:right="0" w:firstLine="820"/>
        <w:jc w:val="left"/>
      </w:pPr>
      <w:r>
        <w:drawing>
          <wp:anchor distT="0" distB="0" distL="114300" distR="1921510" simplePos="0" relativeHeight="125829383" behindDoc="0" locked="0" layoutInCell="1" allowOverlap="1">
            <wp:simplePos x="0" y="0"/>
            <wp:positionH relativeFrom="page">
              <wp:posOffset>3127375</wp:posOffset>
            </wp:positionH>
            <wp:positionV relativeFrom="paragraph">
              <wp:posOffset>76200</wp:posOffset>
            </wp:positionV>
            <wp:extent cx="311150" cy="359410"/>
            <wp:wrapSquare wrapText="right"/>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2"/>
                    <a:stretch/>
                  </pic:blipFill>
                  <pic:spPr>
                    <a:xfrm>
                      <a:ext cx="311150" cy="3594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3520440</wp:posOffset>
                </wp:positionH>
                <wp:positionV relativeFrom="paragraph">
                  <wp:posOffset>146050</wp:posOffset>
                </wp:positionV>
                <wp:extent cx="1725295" cy="255905"/>
                <wp:wrapNone/>
                <wp:docPr id="18" name="Shape 18"/>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77.19999999999999pt;margin-top:11.5pt;width:135.84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Матюшенко</w:t>
      </w:r>
    </w:p>
    <w:p>
      <w:pPr>
        <w:pStyle w:val="Style2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4520" w:right="0" w:firstLine="0"/>
        <w:jc w:val="left"/>
        <w:rPr>
          <w:sz w:val="11"/>
          <w:szCs w:val="11"/>
        </w:rPr>
      </w:pPr>
      <w:r>
        <w:rPr>
          <w:color w:val="E8E8E8"/>
          <w:spacing w:val="0"/>
          <w:w w:val="100"/>
          <w:position w:val="0"/>
          <w:sz w:val="11"/>
          <w:szCs w:val="11"/>
          <w:shd w:val="clear" w:color="auto" w:fill="auto"/>
          <w:lang w:val="ru-RU" w:eastAsia="ru-RU" w:bidi="ru-RU"/>
        </w:rPr>
        <w:t xml:space="preserve">СВЕДЕНИЯ </w:t>
      </w:r>
      <w:r>
        <w:rPr>
          <w:color w:val="FFFFFF"/>
          <w:spacing w:val="0"/>
          <w:w w:val="100"/>
          <w:position w:val="0"/>
          <w:sz w:val="11"/>
          <w:szCs w:val="11"/>
          <w:shd w:val="clear" w:color="auto" w:fill="auto"/>
          <w:lang w:val="ru-RU" w:eastAsia="ru-RU" w:bidi="ru-RU"/>
        </w:rPr>
        <w:t>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84848"/>
          <w:spacing w:val="0"/>
          <w:w w:val="100"/>
          <w:position w:val="0"/>
          <w:shd w:val="clear" w:color="auto" w:fill="auto"/>
          <w:lang w:val="ru-RU" w:eastAsia="ru-RU" w:bidi="ru-RU"/>
        </w:rPr>
        <w:t>44СЕО19Э689ЕВ23598ВССВЕ99Е1С6Е2С</w:t>
      </w:r>
    </w:p>
    <w:p>
      <w:pPr>
        <w:pStyle w:val="Style25"/>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84848"/>
          <w:spacing w:val="0"/>
          <w:w w:val="100"/>
          <w:position w:val="0"/>
          <w:shd w:val="clear" w:color="auto" w:fill="auto"/>
          <w:lang w:val="ru-RU" w:eastAsia="ru-RU" w:bidi="ru-RU"/>
        </w:rPr>
        <w:t xml:space="preserve">10.04.2023 </w:t>
      </w:r>
      <w:r>
        <w:rPr>
          <w:spacing w:val="0"/>
          <w:w w:val="100"/>
          <w:position w:val="0"/>
          <w:shd w:val="clear" w:color="auto" w:fill="auto"/>
          <w:lang w:val="ru-RU" w:eastAsia="ru-RU" w:bidi="ru-RU"/>
        </w:rPr>
        <w:t xml:space="preserve">по </w:t>
      </w:r>
      <w:r>
        <w:rPr>
          <w:color w:val="484848"/>
          <w:spacing w:val="0"/>
          <w:w w:val="100"/>
          <w:position w:val="0"/>
          <w:shd w:val="clear" w:color="auto" w:fill="auto"/>
          <w:lang w:val="ru-RU" w:eastAsia="ru-RU" w:bidi="ru-RU"/>
        </w:rPr>
        <w:t>03.07.2024</w:t>
      </w:r>
    </w:p>
    <w:p>
      <w:pPr>
        <w:pStyle w:val="Style12"/>
        <w:keepNext w:val="0"/>
        <w:keepLines w:val="0"/>
        <w:widowControl w:val="0"/>
        <w:shd w:val="clear" w:color="auto" w:fill="auto"/>
        <w:bidi w:val="0"/>
        <w:spacing w:before="0" w:after="640" w:line="240" w:lineRule="auto"/>
        <w:ind w:left="1560" w:right="0" w:firstLine="0"/>
        <w:jc w:val="left"/>
      </w:pPr>
      <w:r>
        <w:drawing>
          <wp:anchor distT="0" distB="0" distL="114300" distR="1903730" simplePos="0" relativeHeight="125829384" behindDoc="0" locked="0" layoutInCell="1" allowOverlap="1">
            <wp:simplePos x="0" y="0"/>
            <wp:positionH relativeFrom="page">
              <wp:posOffset>3069590</wp:posOffset>
            </wp:positionH>
            <wp:positionV relativeFrom="paragraph">
              <wp:posOffset>25400</wp:posOffset>
            </wp:positionV>
            <wp:extent cx="389890" cy="572770"/>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4"/>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3566160</wp:posOffset>
                </wp:positionH>
                <wp:positionV relativeFrom="paragraph">
                  <wp:posOffset>464185</wp:posOffset>
                </wp:positionV>
                <wp:extent cx="1280160" cy="103505"/>
                <wp:wrapNone/>
                <wp:docPr id="22" name="Shape 22"/>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 xml:space="preserve">СВЕДЕНИЯ О СЕРТИФИКАТЕ </w:t>
                            </w:r>
                            <w:r>
                              <w:rPr>
                                <w:rFonts w:ascii="Arial" w:eastAsia="Arial" w:hAnsi="Arial" w:cs="Arial"/>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8" type="#_x0000_t202" style="position:absolute;margin-left:280.80000000000001pt;margin-top:36.550000000000004pt;width:100.8pt;height:8.15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color w:val="E8E8E8"/>
                          <w:spacing w:val="0"/>
                          <w:w w:val="100"/>
                          <w:position w:val="0"/>
                          <w:shd w:val="clear" w:color="auto" w:fill="auto"/>
                          <w:lang w:val="ru-RU" w:eastAsia="ru-RU" w:bidi="ru-RU"/>
                        </w:rPr>
                        <w:t xml:space="preserve">СВЕДЕНИЯ О СЕРТИФИКАТЕ </w:t>
                      </w:r>
                      <w:r>
                        <w:rPr>
                          <w:rFonts w:ascii="Arial" w:eastAsia="Arial" w:hAnsi="Arial" w:cs="Arial"/>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3520440</wp:posOffset>
                </wp:positionH>
                <wp:positionV relativeFrom="paragraph">
                  <wp:posOffset>153670</wp:posOffset>
                </wp:positionV>
                <wp:extent cx="1725295" cy="255905"/>
                <wp:wrapNone/>
                <wp:docPr id="24" name="Shape 2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7.19999999999999pt;margin-top:12.1pt;width:135.84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Гугава Эдуард Звиадович</w:t>
      </w:r>
    </w:p>
    <w:p>
      <w:pPr>
        <w:pStyle w:val="Style25"/>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 xml:space="preserve">6281 </w:t>
      </w:r>
      <w:r>
        <w:rPr>
          <w:color w:val="484848"/>
          <w:spacing w:val="0"/>
          <w:w w:val="100"/>
          <w:position w:val="0"/>
          <w:shd w:val="clear" w:color="auto" w:fill="auto"/>
          <w:lang w:val="ru-RU" w:eastAsia="ru-RU" w:bidi="ru-RU"/>
        </w:rPr>
        <w:t>Е5АЕВ0О2ОВЕ2АООСЕ65248493Е7С</w:t>
      </w:r>
    </w:p>
    <w:p>
      <w:pPr>
        <w:pStyle w:val="Style25"/>
        <w:keepNext w:val="0"/>
        <w:keepLines w:val="0"/>
        <w:widowControl w:val="0"/>
        <w:shd w:val="clear" w:color="auto" w:fill="auto"/>
        <w:bidi w:val="0"/>
        <w:spacing w:before="0" w:after="8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84848"/>
          <w:spacing w:val="0"/>
          <w:w w:val="100"/>
          <w:position w:val="0"/>
          <w:shd w:val="clear" w:color="auto" w:fill="auto"/>
          <w:lang w:val="ru-RU" w:eastAsia="ru-RU" w:bidi="ru-RU"/>
        </w:rPr>
        <w:t xml:space="preserve">13.04.2023 </w:t>
      </w:r>
      <w:r>
        <w:rPr>
          <w:spacing w:val="0"/>
          <w:w w:val="100"/>
          <w:position w:val="0"/>
          <w:shd w:val="clear" w:color="auto" w:fill="auto"/>
          <w:lang w:val="ru-RU" w:eastAsia="ru-RU" w:bidi="ru-RU"/>
        </w:rPr>
        <w:t>по 06.07.2024</w:t>
      </w:r>
    </w:p>
    <w:p>
      <w:pPr>
        <w:pStyle w:val="Style3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Матюшенко А.А., 8(495) 784-75-05</w:t>
      </w:r>
    </w:p>
    <w:sectPr>
      <w:footnotePr>
        <w:pos w:val="pageBottom"/>
        <w:numFmt w:val="decimal"/>
        <w:numRestart w:val="continuous"/>
      </w:footnotePr>
      <w:type w:val="continuous"/>
      <w:pgSz w:w="11900" w:h="16840"/>
      <w:pgMar w:top="831" w:right="532" w:bottom="83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10427970</wp:posOffset>
              </wp:positionV>
              <wp:extent cx="716280" cy="100330"/>
              <wp:wrapNone/>
              <wp:docPr id="2" name="Shape 2"/>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2024-17393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821.10000000000002pt;width:56.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2024-17393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728980</wp:posOffset>
              </wp:positionH>
              <wp:positionV relativeFrom="page">
                <wp:posOffset>10214610</wp:posOffset>
              </wp:positionV>
              <wp:extent cx="722630" cy="100330"/>
              <wp:wrapNone/>
              <wp:docPr id="6" name="Shape 6"/>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2024-17393</w:t>
                          </w:r>
                        </w:p>
                      </w:txbxContent>
                    </wps:txbx>
                    <wps:bodyPr wrap="none" lIns="0" tIns="0" rIns="0" bIns="0">
                      <a:spAutoFit/>
                    </wps:bodyPr>
                  </wps:wsp>
                </a:graphicData>
              </a:graphic>
            </wp:anchor>
          </w:drawing>
        </mc:Choice>
        <mc:Fallback>
          <w:pict>
            <v:shape id="_x0000_s1032" type="#_x0000_t202" style="position:absolute;margin-left:57.399999999999999pt;margin-top:804.30000000000007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2024-17393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3898900</wp:posOffset>
              </wp:positionH>
              <wp:positionV relativeFrom="page">
                <wp:posOffset>265430</wp:posOffset>
              </wp:positionV>
              <wp:extent cx="128270" cy="103505"/>
              <wp:wrapNone/>
              <wp:docPr id="4" name="Shape 4"/>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0" type="#_x0000_t202" style="position:absolute;margin-left:307.pt;margin-top:20.900000000000002pt;width:10.1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6609D"/>
      <w:sz w:val="19"/>
      <w:szCs w:val="19"/>
      <w:u w:val="none"/>
    </w:rPr>
  </w:style>
  <w:style w:type="character" w:customStyle="1" w:styleId="CharStyle10">
    <w:name w:val="Заголовок №2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18">
    <w:name w:val="Подпись к картинке_"/>
    <w:basedOn w:val="DefaultParagraphFont"/>
    <w:link w:val="Style17"/>
    <w:rPr>
      <w:rFonts w:ascii="Georgia" w:eastAsia="Georgia" w:hAnsi="Georgia" w:cs="Georgia"/>
      <w:b w:val="0"/>
      <w:bCs w:val="0"/>
      <w:i w:val="0"/>
      <w:iCs w:val="0"/>
      <w:smallCaps w:val="0"/>
      <w:strike w:val="0"/>
      <w:color w:val="272727"/>
      <w:sz w:val="11"/>
      <w:szCs w:val="11"/>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676767"/>
      <w:sz w:val="12"/>
      <w:szCs w:val="12"/>
      <w:u w:val="none"/>
    </w:rPr>
  </w:style>
  <w:style w:type="character" w:customStyle="1" w:styleId="CharStyle34">
    <w:name w:val="Основной текст (4)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6609D"/>
      <w:sz w:val="19"/>
      <w:szCs w:val="19"/>
      <w:u w:val="none"/>
    </w:rPr>
  </w:style>
  <w:style w:type="paragraph" w:customStyle="1" w:styleId="Style9">
    <w:name w:val="Заголовок №2"/>
    <w:basedOn w:val="Normal"/>
    <w:link w:val="CharStyle10"/>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1"/>
    <w:basedOn w:val="Normal"/>
    <w:link w:val="CharStyle16"/>
    <w:pPr>
      <w:widowControl w:val="0"/>
      <w:shd w:val="clear" w:color="auto" w:fill="auto"/>
      <w:spacing w:after="760"/>
      <w:ind w:firstLine="360"/>
      <w:outlineLvl w:val="0"/>
    </w:pPr>
    <w:rPr>
      <w:rFonts w:ascii="Arial" w:eastAsia="Arial" w:hAnsi="Arial" w:cs="Arial"/>
      <w:b w:val="0"/>
      <w:bCs w:val="0"/>
      <w:i w:val="0"/>
      <w:iCs w:val="0"/>
      <w:smallCaps w:val="0"/>
      <w:strike w:val="0"/>
      <w:sz w:val="34"/>
      <w:szCs w:val="34"/>
      <w:u w:val="none"/>
    </w:rPr>
  </w:style>
  <w:style w:type="paragraph" w:customStyle="1" w:styleId="Style17">
    <w:name w:val="Подпись к картинке"/>
    <w:basedOn w:val="Normal"/>
    <w:link w:val="CharStyle18"/>
    <w:pPr>
      <w:widowControl w:val="0"/>
      <w:shd w:val="clear" w:color="auto" w:fill="auto"/>
    </w:pPr>
    <w:rPr>
      <w:rFonts w:ascii="Georgia" w:eastAsia="Georgia" w:hAnsi="Georgia" w:cs="Georgia"/>
      <w:b w:val="0"/>
      <w:bCs w:val="0"/>
      <w:i w:val="0"/>
      <w:iCs w:val="0"/>
      <w:smallCaps w:val="0"/>
      <w:strike w:val="0"/>
      <w:color w:val="272727"/>
      <w:sz w:val="11"/>
      <w:szCs w:val="11"/>
      <w:u w:val="none"/>
    </w:rPr>
  </w:style>
  <w:style w:type="paragraph" w:customStyle="1" w:styleId="Style25">
    <w:name w:val="Основной текст (2)"/>
    <w:basedOn w:val="Normal"/>
    <w:link w:val="CharStyle26"/>
    <w:pPr>
      <w:widowControl w:val="0"/>
      <w:shd w:val="clear" w:color="auto" w:fill="auto"/>
      <w:spacing w:after="40"/>
      <w:ind w:left="3820"/>
    </w:pPr>
    <w:rPr>
      <w:rFonts w:ascii="Arial" w:eastAsia="Arial" w:hAnsi="Arial" w:cs="Arial"/>
      <w:b w:val="0"/>
      <w:bCs w:val="0"/>
      <w:i w:val="0"/>
      <w:iCs w:val="0"/>
      <w:smallCaps w:val="0"/>
      <w:strike w:val="0"/>
      <w:color w:val="676767"/>
      <w:sz w:val="12"/>
      <w:szCs w:val="12"/>
      <w:u w:val="none"/>
    </w:rPr>
  </w:style>
  <w:style w:type="paragraph" w:customStyle="1" w:styleId="Style33">
    <w:name w:val="Основной текст (4)"/>
    <w:basedOn w:val="Normal"/>
    <w:link w:val="CharStyle34"/>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