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15950" cy="69469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15950" cy="694690"/>
                    </a:xfrm>
                    <a:prstGeom prst="rect"/>
                  </pic:spPr>
                </pic:pic>
              </a:graphicData>
            </a:graphic>
          </wp:inline>
        </w:drawing>
      </w:r>
    </w:p>
    <w:p>
      <w:pPr>
        <w:widowControl w:val="0"/>
        <w:spacing w:after="339" w:line="1" w:lineRule="exact"/>
      </w:pPr>
    </w:p>
    <w:p>
      <w:pPr>
        <w:pStyle w:val="Style2"/>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340" w:line="240" w:lineRule="auto"/>
        <w:ind w:left="0" w:right="0" w:firstLine="0"/>
        <w:jc w:val="center"/>
        <w:rPr>
          <w:sz w:val="26"/>
          <w:szCs w:val="26"/>
        </w:rPr>
      </w:pPr>
      <w:r>
        <w:rPr>
          <w:b/>
          <w:bCs/>
          <w:color w:val="000000"/>
          <w:spacing w:val="0"/>
          <w:w w:val="100"/>
          <w:position w:val="0"/>
          <w:sz w:val="22"/>
          <w:szCs w:val="22"/>
          <w:shd w:val="clear" w:color="auto" w:fill="auto"/>
          <w:lang w:val="ru-RU" w:eastAsia="ru-RU" w:bidi="ru-RU"/>
        </w:rPr>
        <w:t>УПРАВЛЕНИЕ</w:t>
        <w:br/>
      </w:r>
      <w:r>
        <w:rPr>
          <w:b/>
          <w:bCs/>
          <w:color w:val="000000"/>
          <w:spacing w:val="0"/>
          <w:w w:val="100"/>
          <w:position w:val="0"/>
          <w:sz w:val="26"/>
          <w:szCs w:val="26"/>
          <w:shd w:val="clear" w:color="auto" w:fill="auto"/>
          <w:lang w:val="ru-RU" w:eastAsia="ru-RU" w:bidi="ru-RU"/>
        </w:rPr>
        <w:t>Федеральной антимонопольной службы</w:t>
        <w:br/>
        <w:t>по Вологодской области</w:t>
      </w:r>
    </w:p>
    <w:p>
      <w:pPr>
        <w:pStyle w:val="Style4"/>
        <w:keepNext w:val="0"/>
        <w:keepLines w:val="0"/>
        <w:widowControl w:val="0"/>
        <w:pBdr>
          <w:top w:val="single" w:sz="4" w:space="0" w:color="auto"/>
        </w:pBdr>
        <w:shd w:val="clear" w:color="auto" w:fill="auto"/>
        <w:bidi w:val="0"/>
        <w:spacing w:before="0" w:after="340" w:line="230" w:lineRule="auto"/>
        <w:ind w:left="0" w:right="0" w:firstLine="0"/>
        <w:jc w:val="left"/>
        <w:rPr>
          <w:sz w:val="26"/>
          <w:szCs w:val="26"/>
        </w:rPr>
      </w:pPr>
      <w:r>
        <w:rPr>
          <w:color w:val="000000"/>
          <w:spacing w:val="0"/>
          <w:w w:val="100"/>
          <w:position w:val="0"/>
          <w:sz w:val="26"/>
          <w:szCs w:val="26"/>
          <w:shd w:val="clear" w:color="auto" w:fill="auto"/>
          <w:lang w:val="ru-RU" w:eastAsia="ru-RU" w:bidi="ru-RU"/>
        </w:rPr>
        <w:t>160000, г. Вологда, ул. Пушкинская, 25, тел. (8172)72-99-70; факс (8172)72-46-64</w:t>
      </w:r>
    </w:p>
    <w:p>
      <w:pPr>
        <w:pStyle w:val="Style4"/>
        <w:keepNext w:val="0"/>
        <w:keepLines w:val="0"/>
        <w:widowControl w:val="0"/>
        <w:shd w:val="clear" w:color="auto" w:fill="auto"/>
        <w:bidi w:val="0"/>
        <w:spacing w:before="0" w:after="0" w:line="214" w:lineRule="auto"/>
        <w:ind w:left="0" w:right="0" w:firstLine="0"/>
        <w:jc w:val="left"/>
        <w:rPr>
          <w:sz w:val="28"/>
          <w:szCs w:val="28"/>
        </w:rPr>
      </w:pPr>
      <w:r>
        <w:rPr>
          <w:color w:val="000000"/>
          <w:spacing w:val="0"/>
          <w:w w:val="100"/>
          <w:position w:val="0"/>
          <w:sz w:val="28"/>
          <w:szCs w:val="28"/>
          <w:shd w:val="clear" w:color="auto" w:fill="auto"/>
          <w:lang w:val="ru-RU" w:eastAsia="ru-RU" w:bidi="ru-RU"/>
        </w:rPr>
        <w:t xml:space="preserve">е-таП: </w:t>
      </w:r>
      <w:r>
        <w:rPr>
          <w:color w:val="0000FF"/>
          <w:spacing w:val="0"/>
          <w:w w:val="100"/>
          <w:position w:val="0"/>
          <w:sz w:val="28"/>
          <w:szCs w:val="28"/>
          <w:shd w:val="clear" w:color="auto" w:fill="auto"/>
          <w:lang w:val="ru-RU" w:eastAsia="ru-RU" w:bidi="ru-RU"/>
        </w:rPr>
        <w:t>1о35@а8.доу.ги</w:t>
      </w:r>
    </w:p>
    <w:p>
      <w:pPr>
        <w:pStyle w:val="Style4"/>
        <w:keepNext w:val="0"/>
        <w:keepLines w:val="0"/>
        <w:widowControl w:val="0"/>
        <w:shd w:val="clear" w:color="auto" w:fill="auto"/>
        <w:bidi w:val="0"/>
        <w:spacing w:before="0" w:after="240" w:line="214" w:lineRule="auto"/>
        <w:ind w:left="0" w:right="0" w:firstLine="0"/>
        <w:jc w:val="left"/>
        <w:rPr>
          <w:sz w:val="28"/>
          <w:szCs w:val="28"/>
        </w:rPr>
      </w:pPr>
      <w:r>
        <w:rPr>
          <w:color w:val="000000"/>
          <w:spacing w:val="0"/>
          <w:w w:val="100"/>
          <w:position w:val="0"/>
          <w:sz w:val="28"/>
          <w:szCs w:val="28"/>
          <w:shd w:val="clear" w:color="auto" w:fill="auto"/>
          <w:lang w:val="ru-RU" w:eastAsia="ru-RU" w:bidi="ru-RU"/>
        </w:rPr>
        <w:t>кйр://Vо1одда.Га8.доV.^и</w:t>
      </w:r>
    </w:p>
    <w:p>
      <w:pPr>
        <w:pStyle w:val="Style11"/>
        <w:keepNext/>
        <w:keepLines/>
        <w:widowControl w:val="0"/>
        <w:shd w:val="clear" w:color="auto" w:fill="auto"/>
        <w:bidi w:val="0"/>
        <w:spacing w:before="0" w:after="0" w:line="240" w:lineRule="auto"/>
        <w:ind w:left="4720" w:right="0" w:firstLine="0"/>
        <w:jc w:val="left"/>
      </w:pPr>
      <w:bookmarkStart w:id="0" w:name="bookmark0"/>
      <w:r>
        <w:rPr>
          <w:color w:val="000000"/>
          <w:spacing w:val="0"/>
          <w:w w:val="100"/>
          <w:position w:val="0"/>
          <w:sz w:val="24"/>
          <w:szCs w:val="24"/>
          <w:shd w:val="clear" w:color="auto" w:fill="auto"/>
          <w:lang w:val="ru-RU" w:eastAsia="ru-RU" w:bidi="ru-RU"/>
        </w:rPr>
        <w:t>Заявитель:</w:t>
      </w:r>
      <w:bookmarkEnd w:id="0"/>
    </w:p>
    <w:p>
      <w:pPr>
        <w:pStyle w:val="Style4"/>
        <w:keepNext w:val="0"/>
        <w:keepLines w:val="0"/>
        <w:widowControl w:val="0"/>
        <w:shd w:val="clear" w:color="auto" w:fill="auto"/>
        <w:bidi w:val="0"/>
        <w:spacing w:before="0" w:after="0" w:line="240" w:lineRule="auto"/>
        <w:ind w:left="4720" w:right="0" w:firstLine="0"/>
        <w:jc w:val="left"/>
      </w:pPr>
      <w:r>
        <w:rPr>
          <w:color w:val="000000"/>
          <w:spacing w:val="0"/>
          <w:w w:val="100"/>
          <w:position w:val="0"/>
          <w:sz w:val="24"/>
          <w:szCs w:val="24"/>
          <w:shd w:val="clear" w:color="auto" w:fill="auto"/>
          <w:lang w:val="ru-RU" w:eastAsia="ru-RU" w:bidi="ru-RU"/>
        </w:rPr>
        <w:t>ООО «АНГИОТЕК»</w:t>
      </w:r>
    </w:p>
    <w:p>
      <w:pPr>
        <w:pStyle w:val="Style4"/>
        <w:keepNext w:val="0"/>
        <w:keepLines w:val="0"/>
        <w:widowControl w:val="0"/>
        <w:shd w:val="clear" w:color="auto" w:fill="auto"/>
        <w:bidi w:val="0"/>
        <w:spacing w:before="0" w:after="280" w:line="240" w:lineRule="auto"/>
        <w:ind w:left="4720" w:right="0" w:firstLine="0"/>
        <w:jc w:val="left"/>
      </w:pPr>
      <w:r>
        <w:rPr>
          <w:color w:val="000000"/>
          <w:spacing w:val="0"/>
          <w:w w:val="100"/>
          <w:position w:val="0"/>
          <w:sz w:val="24"/>
          <w:szCs w:val="24"/>
          <w:shd w:val="clear" w:color="auto" w:fill="auto"/>
          <w:lang w:val="ru-RU" w:eastAsia="ru-RU" w:bidi="ru-RU"/>
        </w:rPr>
        <w:t>Е-тай:</w:t>
      </w:r>
      <w:r>
        <w:fldChar w:fldCharType="begin"/>
      </w:r>
      <w:r>
        <w:rPr/>
        <w:instrText> HYPERLINK "mailto:aenea.doerb@mail.ru" </w:instrText>
      </w:r>
      <w:r>
        <w:fldChar w:fldCharType="separate"/>
      </w:r>
      <w:r>
        <w:rPr>
          <w:color w:val="000000"/>
          <w:spacing w:val="0"/>
          <w:w w:val="100"/>
          <w:position w:val="0"/>
          <w:sz w:val="24"/>
          <w:szCs w:val="24"/>
          <w:shd w:val="clear" w:color="auto" w:fill="auto"/>
          <w:lang w:val="ru-RU" w:eastAsia="ru-RU" w:bidi="ru-RU"/>
        </w:rPr>
        <w:t xml:space="preserve"> аепеа.йоегЬ@тай.ги,</w:t>
      </w:r>
      <w:r>
        <w:fldChar w:fldCharType="end"/>
      </w:r>
      <w:r>
        <w:rPr>
          <w:color w:val="000000"/>
          <w:spacing w:val="0"/>
          <w:w w:val="100"/>
          <w:position w:val="0"/>
          <w:sz w:val="24"/>
          <w:szCs w:val="24"/>
          <w:shd w:val="clear" w:color="auto" w:fill="auto"/>
          <w:lang w:val="ru-RU" w:eastAsia="ru-RU" w:bidi="ru-RU"/>
        </w:rPr>
        <w:t xml:space="preserve"> 1гайе@ап§1о1ек.ги</w:t>
      </w:r>
    </w:p>
    <w:p>
      <w:pPr>
        <w:pStyle w:val="Style11"/>
        <w:keepNext/>
        <w:keepLines/>
        <w:widowControl w:val="0"/>
        <w:shd w:val="clear" w:color="auto" w:fill="auto"/>
        <w:bidi w:val="0"/>
        <w:spacing w:before="0" w:after="0" w:line="240" w:lineRule="auto"/>
        <w:ind w:left="4720" w:right="0" w:firstLine="0"/>
        <w:jc w:val="left"/>
      </w:pPr>
      <w:bookmarkStart w:id="2" w:name="bookmark2"/>
      <w:r>
        <w:rPr>
          <w:color w:val="000000"/>
          <w:spacing w:val="0"/>
          <w:w w:val="100"/>
          <w:position w:val="0"/>
          <w:sz w:val="24"/>
          <w:szCs w:val="24"/>
          <w:shd w:val="clear" w:color="auto" w:fill="auto"/>
          <w:lang w:val="ru-RU" w:eastAsia="ru-RU" w:bidi="ru-RU"/>
        </w:rPr>
        <w:t>Заказчик:</w:t>
      </w:r>
      <w:bookmarkEnd w:id="2"/>
    </w:p>
    <w:p>
      <w:pPr>
        <w:pStyle w:val="Style4"/>
        <w:keepNext w:val="0"/>
        <w:keepLines w:val="0"/>
        <w:widowControl w:val="0"/>
        <w:shd w:val="clear" w:color="auto" w:fill="auto"/>
        <w:bidi w:val="0"/>
        <w:spacing w:before="0" w:after="0" w:line="240" w:lineRule="auto"/>
        <w:ind w:left="4720" w:right="0" w:firstLine="0"/>
        <w:jc w:val="left"/>
      </w:pPr>
      <w:r>
        <w:rPr>
          <w:color w:val="000000"/>
          <w:spacing w:val="0"/>
          <w:w w:val="100"/>
          <w:position w:val="0"/>
          <w:sz w:val="24"/>
          <w:szCs w:val="24"/>
          <w:shd w:val="clear" w:color="auto" w:fill="auto"/>
          <w:lang w:val="ru-RU" w:eastAsia="ru-RU" w:bidi="ru-RU"/>
        </w:rPr>
        <w:t>БУЗ ВО «Череповецкая городская больница»</w:t>
      </w:r>
    </w:p>
    <w:p>
      <w:pPr>
        <w:pStyle w:val="Style4"/>
        <w:keepNext w:val="0"/>
        <w:keepLines w:val="0"/>
        <w:widowControl w:val="0"/>
        <w:shd w:val="clear" w:color="auto" w:fill="auto"/>
        <w:bidi w:val="0"/>
        <w:spacing w:before="0" w:after="280" w:line="240" w:lineRule="auto"/>
        <w:ind w:left="4720" w:right="0" w:firstLine="0"/>
        <w:jc w:val="left"/>
      </w:pPr>
      <w:r>
        <w:rPr>
          <w:color w:val="000000"/>
          <w:spacing w:val="0"/>
          <w:w w:val="100"/>
          <w:position w:val="0"/>
          <w:sz w:val="24"/>
          <w:szCs w:val="24"/>
          <w:shd w:val="clear" w:color="auto" w:fill="auto"/>
          <w:lang w:val="ru-RU" w:eastAsia="ru-RU" w:bidi="ru-RU"/>
        </w:rPr>
        <w:t>Е-тай: 8паЬ§ете@§Ь2сйег.ш</w:t>
      </w:r>
    </w:p>
    <w:p>
      <w:pPr>
        <w:pStyle w:val="Style11"/>
        <w:keepNext/>
        <w:keepLines/>
        <w:widowControl w:val="0"/>
        <w:shd w:val="clear" w:color="auto" w:fill="auto"/>
        <w:bidi w:val="0"/>
        <w:spacing w:before="0" w:after="0" w:line="240" w:lineRule="auto"/>
        <w:ind w:left="4720" w:right="0" w:firstLine="0"/>
        <w:jc w:val="left"/>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4"/>
        <w:keepNext w:val="0"/>
        <w:keepLines w:val="0"/>
        <w:widowControl w:val="0"/>
        <w:shd w:val="clear" w:color="auto" w:fill="auto"/>
        <w:bidi w:val="0"/>
        <w:spacing w:before="0" w:after="0" w:line="240" w:lineRule="auto"/>
        <w:ind w:left="4720" w:right="0" w:firstLine="0"/>
        <w:jc w:val="left"/>
      </w:pPr>
      <w:r>
        <w:rPr>
          <w:color w:val="000000"/>
          <w:spacing w:val="0"/>
          <w:w w:val="100"/>
          <w:position w:val="0"/>
          <w:sz w:val="24"/>
          <w:szCs w:val="24"/>
          <w:shd w:val="clear" w:color="auto" w:fill="auto"/>
          <w:lang w:val="ru-RU" w:eastAsia="ru-RU" w:bidi="ru-RU"/>
        </w:rPr>
        <w:t>ООО «РТС-тендер»</w:t>
      </w:r>
    </w:p>
    <w:p>
      <w:pPr>
        <w:pStyle w:val="Style4"/>
        <w:keepNext w:val="0"/>
        <w:keepLines w:val="0"/>
        <w:widowControl w:val="0"/>
        <w:shd w:val="clear" w:color="auto" w:fill="auto"/>
        <w:bidi w:val="0"/>
        <w:spacing w:before="0" w:after="580" w:line="240" w:lineRule="auto"/>
        <w:ind w:left="4720" w:right="0" w:firstLine="0"/>
        <w:jc w:val="left"/>
      </w:pPr>
      <w:r>
        <w:rPr>
          <w:color w:val="000000"/>
          <w:spacing w:val="0"/>
          <w:w w:val="100"/>
          <w:position w:val="0"/>
          <w:sz w:val="24"/>
          <w:szCs w:val="24"/>
          <w:shd w:val="clear" w:color="auto" w:fill="auto"/>
          <w:lang w:val="ru-RU" w:eastAsia="ru-RU" w:bidi="ru-RU"/>
        </w:rPr>
        <w:t>Е-тай: ко@г1з-1епйег.ги</w:t>
      </w:r>
    </w:p>
    <w:p>
      <w:pPr>
        <w:pStyle w:val="Style11"/>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РЕШЕНИЕ № 035/06/33-352/2024</w:t>
      </w:r>
      <w:bookmarkEnd w:id="6"/>
    </w:p>
    <w:p>
      <w:pPr>
        <w:pStyle w:val="Style4"/>
        <w:keepNext w:val="0"/>
        <w:keepLines w:val="0"/>
        <w:widowControl w:val="0"/>
        <w:shd w:val="clear" w:color="auto" w:fill="auto"/>
        <w:tabs>
          <w:tab w:pos="8506"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«25» апреля 2024 г.</w:t>
        <w:tab/>
        <w:t>г. Вологда</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Смышляева И.А. - председатель комиссии Управления, заместитель начальника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Кузнецова Ю.Н. - член комиссии Управления, старший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Шпякина М.А.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рассмотрев с использованием видеоконференцсвязи жалобу ООО «АНГИОТЕК» (далее - Заявитель) на положения извещения о проведении запроса котировок в электронной форме, предмет закупки - поставка медицинского изделия: Регистратор </w:t>
      </w:r>
      <w:r>
        <w:rPr>
          <w:color w:val="000000"/>
          <w:spacing w:val="0"/>
          <w:w w:val="100"/>
          <w:position w:val="0"/>
          <w:sz w:val="24"/>
          <w:szCs w:val="24"/>
          <w:shd w:val="clear" w:color="auto" w:fill="auto"/>
          <w:lang w:val="ru-RU" w:eastAsia="ru-RU" w:bidi="ru-RU"/>
        </w:rPr>
        <w:t>амбулаторный для длительного мониторинга артериального давления, ввод в эксплуатацию медицинских изделий, обучение правилам эксплуатации специалистов, эксплуатирующих медицинские изделия, извещение № 0330500000724000076 (далее - запрос котировок, закупка), Заказчик - БУЗ ВО «Череповецкая городская больница», при участии,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представителей Заявителя,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представителя Заказчика,</w:t>
      </w:r>
    </w:p>
    <w:p>
      <w:pPr>
        <w:pStyle w:val="Style4"/>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представителей ИП Карижского А.С. (участник закупки),</w:t>
      </w:r>
    </w:p>
    <w:p>
      <w:pPr>
        <w:pStyle w:val="Style11"/>
        <w:keepNext/>
        <w:keepLines/>
        <w:widowControl w:val="0"/>
        <w:shd w:val="clear" w:color="auto" w:fill="auto"/>
        <w:bidi w:val="0"/>
        <w:spacing w:before="0" w:after="28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18.04.2024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положения извещения о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обжалует положения извещения о проведении запроса котировок:</w:t>
      </w:r>
    </w:p>
    <w:p>
      <w:pPr>
        <w:pStyle w:val="Style4"/>
        <w:keepNext w:val="0"/>
        <w:keepLines w:val="0"/>
        <w:widowControl w:val="0"/>
        <w:shd w:val="clear" w:color="auto" w:fill="auto"/>
        <w:tabs>
          <w:tab w:pos="143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w:t>
        <w:tab/>
        <w:t>По мнению Заявителя, Заказчиком описан товар одного производителя:</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Комплекс для многосуточного мониторирования ЭКГ (по Холтеру) и АД «Кардиотехника-07» по ТУ 9441-007-15192471-2006 (РУ ФСР 2008/01748 от 17.10.2022), производства ООО «Инкарт»;</w:t>
      </w:r>
    </w:p>
    <w:p>
      <w:pPr>
        <w:pStyle w:val="Style4"/>
        <w:keepNext w:val="0"/>
        <w:keepLines w:val="0"/>
        <w:widowControl w:val="0"/>
        <w:shd w:val="clear" w:color="auto" w:fill="auto"/>
        <w:tabs>
          <w:tab w:pos="143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w:t>
        <w:tab/>
        <w:t>Заявитель полагает, что Заказчик, закупая радиоэлектронную продукцию из</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перечня, утвержденного постановлением Правительства Российской Федерации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в нарушение требований закона не установил код Каталога товаров, работ и услуг для обеспечения государственных и муниципальных нужд (далее - КТРУ), что позволило ему обойти требования связанные с запретом указания дополнительных характеристик, при закупке радиоэлектронной продукции и приводит к невозможности надлежащего применения ограничений и запретов.</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представил возражения на жалобу (далее - Возражения), согласно которым, жалоба является необоснованной.</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ИП Карижский А.С. представил возражения на жалобу.</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Рассмотрение жалобы состоялось 25.04.2024 в 10:00 с использованием видео</w:t>
        <w:softHyphen/>
        <w:t>конференц-связи.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Председателем комиссии Управления в целях выяснения обстоятельств, имеющих значение для принятия решения, объявлен перерыв в рассмотрении жалобы до 25.04.2024 в 16:00.</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 время перерыва от Заявителя поступили дополнительные пояснения к жалобе, и дополнения к возражениям на жалобу от ИП Карижского А.С.</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представителей Заявителя, Заказчика и ИП Карижского А.С., пришла к следующему выводу.</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12.04.2024 в ЕИС размещено извещение № 0330500000724000076 о проведении запроса котировок от 12.04.2024.</w:t>
      </w:r>
    </w:p>
    <w:p>
      <w:pPr>
        <w:pStyle w:val="Style4"/>
        <w:keepNext w:val="0"/>
        <w:keepLines w:val="0"/>
        <w:widowControl w:val="0"/>
        <w:shd w:val="clear" w:color="auto" w:fill="auto"/>
        <w:bidi w:val="0"/>
        <w:spacing w:before="0" w:after="0" w:line="240" w:lineRule="auto"/>
        <w:ind w:left="1500" w:right="0" w:firstLine="0"/>
        <w:jc w:val="left"/>
      </w:pPr>
      <w:r>
        <w:rPr>
          <w:color w:val="000000"/>
          <w:spacing w:val="0"/>
          <w:w w:val="100"/>
          <w:position w:val="0"/>
          <w:sz w:val="24"/>
          <w:szCs w:val="24"/>
          <w:shd w:val="clear" w:color="auto" w:fill="auto"/>
          <w:lang w:val="ru-RU" w:eastAsia="ru-RU" w:bidi="ru-RU"/>
        </w:rPr>
        <w:t>Начальная (максимальная) цена контракта: 395 000,00 руб.</w:t>
      </w:r>
    </w:p>
    <w:p>
      <w:pPr>
        <w:pStyle w:val="Style4"/>
        <w:keepNext w:val="0"/>
        <w:keepLines w:val="0"/>
        <w:widowControl w:val="0"/>
        <w:shd w:val="clear" w:color="auto" w:fill="auto"/>
        <w:bidi w:val="0"/>
        <w:spacing w:before="0" w:after="0" w:line="240" w:lineRule="auto"/>
        <w:ind w:left="1500" w:right="0" w:firstLine="0"/>
        <w:jc w:val="left"/>
      </w:pPr>
      <w:r>
        <w:rPr>
          <w:color w:val="000000"/>
          <w:spacing w:val="0"/>
          <w:w w:val="100"/>
          <w:position w:val="0"/>
          <w:sz w:val="24"/>
          <w:szCs w:val="24"/>
          <w:shd w:val="clear" w:color="auto" w:fill="auto"/>
          <w:lang w:val="ru-RU" w:eastAsia="ru-RU" w:bidi="ru-RU"/>
        </w:rPr>
        <w:t>Дата и время начала срока подачи заявок: 12.04.2024 в 15 ч. 58 мин.</w:t>
      </w:r>
    </w:p>
    <w:p>
      <w:pPr>
        <w:pStyle w:val="Style4"/>
        <w:keepNext w:val="0"/>
        <w:keepLines w:val="0"/>
        <w:widowControl w:val="0"/>
        <w:shd w:val="clear" w:color="auto" w:fill="auto"/>
        <w:bidi w:val="0"/>
        <w:spacing w:before="0" w:after="0" w:line="240" w:lineRule="auto"/>
        <w:ind w:left="1500" w:right="0" w:firstLine="0"/>
        <w:jc w:val="left"/>
      </w:pPr>
      <w:r>
        <w:rPr>
          <w:color w:val="000000"/>
          <w:spacing w:val="0"/>
          <w:w w:val="100"/>
          <w:position w:val="0"/>
          <w:sz w:val="24"/>
          <w:szCs w:val="24"/>
          <w:shd w:val="clear" w:color="auto" w:fill="auto"/>
          <w:lang w:val="ru-RU" w:eastAsia="ru-RU" w:bidi="ru-RU"/>
        </w:rPr>
        <w:t>Дата и время окончания срока подачи заявок: 19.04.2024 в 08 ч. 00 мин.</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22.04.2024.</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Согласно п. 1 ч. 2 ст. 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описанием объекта закупки в соответствии со ст. 33 Закона о контрактной системе.</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1. В соответствии с п. 1, 2 ч. 1 ст.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4"/>
        <w:keepNext w:val="0"/>
        <w:keepLines w:val="0"/>
        <w:widowControl w:val="0"/>
        <w:numPr>
          <w:ilvl w:val="0"/>
          <w:numId w:val="1"/>
        </w:numPr>
        <w:shd w:val="clear" w:color="auto" w:fill="auto"/>
        <w:tabs>
          <w:tab w:pos="1847" w:val="left"/>
        </w:tabs>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4"/>
        <w:keepNext w:val="0"/>
        <w:keepLines w:val="0"/>
        <w:widowControl w:val="0"/>
        <w:numPr>
          <w:ilvl w:val="0"/>
          <w:numId w:val="3"/>
        </w:numPr>
        <w:shd w:val="clear" w:color="auto" w:fill="auto"/>
        <w:tabs>
          <w:tab w:pos="1820" w:val="left"/>
        </w:tabs>
        <w:bidi w:val="0"/>
        <w:spacing w:before="0" w:after="0" w:line="240" w:lineRule="auto"/>
        <w:ind w:left="1500" w:right="0" w:firstLine="0"/>
        <w:jc w:val="left"/>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4"/>
        <w:keepNext w:val="0"/>
        <w:keepLines w:val="0"/>
        <w:widowControl w:val="0"/>
        <w:numPr>
          <w:ilvl w:val="0"/>
          <w:numId w:val="3"/>
        </w:numPr>
        <w:shd w:val="clear" w:color="auto" w:fill="auto"/>
        <w:tabs>
          <w:tab w:pos="1842" w:val="left"/>
        </w:tabs>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4"/>
        <w:keepNext w:val="0"/>
        <w:keepLines w:val="0"/>
        <w:widowControl w:val="0"/>
        <w:numPr>
          <w:ilvl w:val="0"/>
          <w:numId w:val="3"/>
        </w:numPr>
        <w:shd w:val="clear" w:color="auto" w:fill="auto"/>
        <w:tabs>
          <w:tab w:pos="1828" w:val="left"/>
        </w:tabs>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4"/>
        <w:keepNext w:val="0"/>
        <w:keepLines w:val="0"/>
        <w:widowControl w:val="0"/>
        <w:numPr>
          <w:ilvl w:val="0"/>
          <w:numId w:val="3"/>
        </w:numPr>
        <w:shd w:val="clear" w:color="auto" w:fill="auto"/>
        <w:tabs>
          <w:tab w:pos="1823" w:val="left"/>
        </w:tabs>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4"/>
        <w:keepNext w:val="0"/>
        <w:keepLines w:val="0"/>
        <w:widowControl w:val="0"/>
        <w:numPr>
          <w:ilvl w:val="0"/>
          <w:numId w:val="1"/>
        </w:numPr>
        <w:shd w:val="clear" w:color="auto" w:fill="auto"/>
        <w:tabs>
          <w:tab w:pos="1847" w:val="left"/>
        </w:tabs>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Исходя из смысла п. 1, 2 ч. 1, ч. 2 ст. 33 Закона о контрактной системе потребности заказчика являются определяющим фактором при установлении им соответствующих требований.</w:t>
      </w:r>
    </w:p>
    <w:p>
      <w:pPr>
        <w:pStyle w:val="Style4"/>
        <w:keepNext w:val="0"/>
        <w:keepLines w:val="0"/>
        <w:widowControl w:val="0"/>
        <w:shd w:val="clear" w:color="auto" w:fill="auto"/>
        <w:bidi w:val="0"/>
        <w:spacing w:before="0" w:after="0" w:line="240" w:lineRule="auto"/>
        <w:ind w:left="800" w:right="0" w:firstLine="700"/>
        <w:jc w:val="both"/>
      </w:pPr>
      <w:r>
        <w:rPr>
          <w:color w:val="000000"/>
          <w:spacing w:val="0"/>
          <w:w w:val="100"/>
          <w:position w:val="0"/>
          <w:sz w:val="24"/>
          <w:szCs w:val="24"/>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закупке,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о закупке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4"/>
        <w:keepNext w:val="0"/>
        <w:keepLines w:val="0"/>
        <w:widowControl w:val="0"/>
        <w:shd w:val="clear" w:color="auto" w:fill="auto"/>
        <w:bidi w:val="0"/>
        <w:spacing w:before="0" w:after="280" w:line="240" w:lineRule="auto"/>
        <w:ind w:left="800" w:right="0" w:firstLine="700"/>
        <w:jc w:val="both"/>
      </w:pPr>
      <w:r>
        <w:rPr>
          <w:color w:val="000000"/>
          <w:spacing w:val="0"/>
          <w:w w:val="100"/>
          <w:position w:val="0"/>
          <w:sz w:val="24"/>
          <w:szCs w:val="24"/>
          <w:shd w:val="clear" w:color="auto" w:fill="auto"/>
          <w:lang w:val="ru-RU" w:eastAsia="ru-RU" w:bidi="ru-RU"/>
        </w:rPr>
        <w:t>В Описании объекта закупки (Техническом задании) установлены показатели, позволяющие определить соответствие закупаемого товара установленным Заказчиком требованиям:</w:t>
      </w:r>
    </w:p>
    <w:tbl>
      <w:tblPr>
        <w:tblOverlap w:val="never"/>
        <w:jc w:val="center"/>
        <w:tblLayout w:type="fixed"/>
      </w:tblPr>
      <w:tblGrid>
        <w:gridCol w:w="370"/>
        <w:gridCol w:w="787"/>
        <w:gridCol w:w="667"/>
        <w:gridCol w:w="2242"/>
        <w:gridCol w:w="1704"/>
        <w:gridCol w:w="1699"/>
        <w:gridCol w:w="1560"/>
        <w:gridCol w:w="850"/>
        <w:gridCol w:w="998"/>
      </w:tblGrid>
      <w:tr>
        <w:trPr>
          <w:trHeight w:val="984" w:hRule="exact"/>
        </w:trPr>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 п/п</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Наименов ание товара, работы, услуги</w:t>
            </w: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33" w:lineRule="auto"/>
              <w:ind w:left="0" w:right="0" w:firstLine="0"/>
              <w:jc w:val="center"/>
              <w:rPr>
                <w:sz w:val="14"/>
                <w:szCs w:val="14"/>
              </w:rPr>
            </w:pPr>
            <w:r>
              <w:rPr>
                <w:color w:val="000000"/>
                <w:spacing w:val="0"/>
                <w:w w:val="100"/>
                <w:position w:val="0"/>
                <w:sz w:val="14"/>
                <w:szCs w:val="14"/>
                <w:shd w:val="clear" w:color="auto" w:fill="auto"/>
                <w:lang w:val="ru-RU" w:eastAsia="ru-RU" w:bidi="ru-RU"/>
              </w:rPr>
              <w:t>Код позици и ОКПД 2</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Наименование характеристики (показателя)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(показателя)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Ед. измерения показателя объекта закупки (при наличии)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Инструкция по заполнению характеристик (значений показателей) в заявке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Количеств о</w:t>
            </w:r>
          </w:p>
        </w:tc>
        <w:tc>
          <w:tcPr>
            <w:tcBorders>
              <w:top w:val="single" w:sz="4"/>
              <w:left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Единица измерения</w:t>
            </w:r>
          </w:p>
        </w:tc>
      </w:tr>
      <w:tr>
        <w:trPr>
          <w:trHeight w:val="653" w:hRule="exact"/>
        </w:trPr>
        <w:tc>
          <w:tcPr>
            <w:vMerge w:val="restart"/>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1</w:t>
            </w:r>
          </w:p>
        </w:tc>
        <w:tc>
          <w:tcPr>
            <w:vMerge w:val="restart"/>
            <w:tcBorders>
              <w:top w:val="single" w:sz="4"/>
              <w:left w:val="single" w:sz="4"/>
            </w:tcBorders>
            <w:shd w:val="clear" w:color="auto" w:fill="auto"/>
            <w:vAlign w:val="top"/>
          </w:tcPr>
          <w:p>
            <w:pPr>
              <w:pStyle w:val="Style16"/>
              <w:keepNext w:val="0"/>
              <w:keepLines w:val="0"/>
              <w:widowControl w:val="0"/>
              <w:shd w:val="clear" w:color="auto" w:fill="auto"/>
              <w:bidi w:val="0"/>
              <w:spacing w:before="0" w:after="36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Регистрат оР амбулато рный для длительн ого монитори нга артериаль ного давления</w:t>
            </w:r>
          </w:p>
          <w:p>
            <w:pPr>
              <w:pStyle w:val="Style16"/>
              <w:keepNext w:val="0"/>
              <w:keepLines w:val="0"/>
              <w:widowControl w:val="0"/>
              <w:shd w:val="clear" w:color="auto" w:fill="auto"/>
              <w:bidi w:val="0"/>
              <w:spacing w:before="0" w:after="0" w:line="233" w:lineRule="auto"/>
              <w:ind w:left="0" w:right="0" w:firstLine="0"/>
              <w:jc w:val="center"/>
              <w:rPr>
                <w:sz w:val="14"/>
                <w:szCs w:val="14"/>
              </w:rPr>
            </w:pPr>
            <w:r>
              <w:rPr>
                <w:color w:val="000000"/>
                <w:spacing w:val="0"/>
                <w:w w:val="100"/>
                <w:position w:val="0"/>
                <w:sz w:val="14"/>
                <w:szCs w:val="14"/>
                <w:shd w:val="clear" w:color="auto" w:fill="auto"/>
                <w:lang w:val="ru-RU" w:eastAsia="ru-RU" w:bidi="ru-RU"/>
              </w:rPr>
              <w:t>КОД ВИДА МЕД. ИЗДЕЛИ Я: 145190*</w:t>
            </w:r>
          </w:p>
        </w:tc>
        <w:tc>
          <w:tcPr>
            <w:vMerge w:val="restart"/>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26.60.1</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2.129</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Для длительного мониторинга артериального давления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val="restart"/>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1</w:t>
            </w:r>
          </w:p>
        </w:tc>
        <w:tc>
          <w:tcPr>
            <w:vMerge w:val="restart"/>
            <w:tcBorders>
              <w:top w:val="single" w:sz="4"/>
              <w:left w:val="single" w:sz="4"/>
              <w:righ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штука</w:t>
            </w:r>
          </w:p>
        </w:tc>
      </w:tr>
      <w:tr>
        <w:trPr>
          <w:trHeight w:val="129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Обеспечивается совместимость (взаимодействие) закупаемого оборудования с имеющимся у Заказчика оборудованием «Комплекс для многосуточного мониторирования ЭКГ (по Холтеру) и АД "КАРДИОТЕХНИКА-07"»</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97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Записи мониторирования, полученные с вновь приобретаемого оборудования, обрабатываются на имеющемся у Заказчика Комплексе «Кардиотехника-07».</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193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Для записей, полученных на приобретаемом оборудовании, обеспечивается совместная обработка и автоматическое сравнение с записями этого же пациента, полученными ранее с использование Комплекса «Кардиотехника-07» и хранящимися в архиве Заказчика, с выделением статистически значимых отличий между записями.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112"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Записи, полученные на закупаемом оборудовании, автоматически обрабатываются с полным сохранением установок предыдущей (архивной) записи этого же пациента, хранящейся в архиве Комплекса «Кардиотехника-07» Заказчика, с использованием тех же названий выявленных феноменов, с автоматическим выделением новых феноменов (артефактов и т.д), отсутствующих на</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top"/>
          </w:tcPr>
          <w:p>
            <w:pPr/>
          </w:p>
        </w:tc>
      </w:tr>
    </w:tbl>
    <w:p>
      <w:pPr>
        <w:spacing w:lineRule="exact" w:line="1"/>
        <w:rPr>
          <w:sz w:val="2"/>
          <w:szCs w:val="2"/>
        </w:rPr>
      </w:pPr>
      <w:r>
        <w:br w:type="page"/>
      </w:r>
    </w:p>
    <w:tbl>
      <w:tblPr>
        <w:tblOverlap w:val="never"/>
        <w:jc w:val="center"/>
        <w:tblLayout w:type="fixed"/>
      </w:tblPr>
      <w:tblGrid>
        <w:gridCol w:w="370"/>
        <w:gridCol w:w="787"/>
        <w:gridCol w:w="667"/>
        <w:gridCol w:w="2242"/>
        <w:gridCol w:w="1704"/>
        <w:gridCol w:w="1699"/>
        <w:gridCol w:w="1560"/>
        <w:gridCol w:w="850"/>
        <w:gridCol w:w="998"/>
      </w:tblGrid>
      <w:tr>
        <w:trPr>
          <w:trHeight w:val="298"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предыдущей записи.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Длительность записи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&gt;48</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час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Количество каналов измерения и регистрации ЭКГ</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Способ регистрации ЭКГ</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непрерывный</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Частота дискретизации ЭКГ</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&gt;250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Гц</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97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регистрации (записи в память монитора) переменной составляющей входного напряжения (динамический диапазон входного сигнала), минимальное значение, мВ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&lt;0,05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97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регистрации (записи в память монитора) переменной составляющей входного напряжения (динамический диапазон входного сигнала), максимальное значение, мВ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измеряемых напряжений, минимальное значение,мВ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&lt;0,1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измеряемых напряжений, максимальное значение,мВ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измерения частоты сердечных сокращений (ЧСС), минимальное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&lt;30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мин</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измерения частоты сердечных сокращений (ЧСС), максимальное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&gt;240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мин</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Коэффициент ослабления синфазной помехи, дБ</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113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частот полосы пропускания (диапазон частот, в котором неравномерность амплитудно-частотной характеристики канала ЭКГ не превышает 3 дБ), минимальное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&lt;0,05</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Гц</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113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частот полосы пропускания (диапазон частот, в котором неравномерность амплитудно-частотной характеристики канала ЭКГ не превышает 3 дБ), максимальное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&gt;65</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Гц</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Осциллометрический метод измерения АД</w:t>
            </w: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Измерение АД по тонам Короткова</w:t>
            </w: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измерения давления, минимальное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&lt;20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мм рт.ст.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Диапазон измерения давления, максимальное значение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&gt;280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мм рт.ст.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Предел допускаемой абсолютной погрешности измерения давления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 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мм рт.ст.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Характер спуска давления при измерении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Плавный</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341"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Измерение АД с привязкой к ^К.8 комплексу (с синхронизацией по</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w:t>
            </w: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top"/>
          </w:tcPr>
          <w:p>
            <w:pPr/>
          </w:p>
        </w:tc>
      </w:tr>
    </w:tbl>
    <w:p>
      <w:pPr>
        <w:spacing w:lineRule="exact" w:line="1"/>
        <w:rPr>
          <w:sz w:val="2"/>
          <w:szCs w:val="2"/>
        </w:rPr>
      </w:pPr>
      <w:r>
        <w:br w:type="page"/>
      </w:r>
    </w:p>
    <w:tbl>
      <w:tblPr>
        <w:tblOverlap w:val="never"/>
        <w:jc w:val="center"/>
        <w:tblLayout w:type="fixed"/>
      </w:tblPr>
      <w:tblGrid>
        <w:gridCol w:w="370"/>
        <w:gridCol w:w="787"/>
        <w:gridCol w:w="667"/>
        <w:gridCol w:w="2242"/>
        <w:gridCol w:w="1704"/>
        <w:gridCol w:w="1699"/>
        <w:gridCol w:w="1560"/>
        <w:gridCol w:w="850"/>
        <w:gridCol w:w="998"/>
      </w:tblGrid>
      <w:tr>
        <w:trPr>
          <w:trHeight w:val="336"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ЭКГ)</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140" w:right="0" w:firstLine="80"/>
              <w:jc w:val="left"/>
              <w:rPr>
                <w:sz w:val="14"/>
                <w:szCs w:val="14"/>
              </w:rPr>
            </w:pPr>
            <w:r>
              <w:rPr>
                <w:color w:val="000000"/>
                <w:spacing w:val="0"/>
                <w:w w:val="100"/>
                <w:position w:val="0"/>
                <w:sz w:val="14"/>
                <w:szCs w:val="14"/>
                <w:shd w:val="clear" w:color="auto" w:fill="auto"/>
                <w:lang w:val="ru-RU" w:eastAsia="ru-RU" w:bidi="ru-RU"/>
              </w:rPr>
              <w:t>может изменяться участником закупки</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81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Режим суточного мониторирования АД с полной записью одного отведения ЭКГ с использованием трехэлектродного кабеля пациента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Автоматическое внеочередное измерение АД по параметрам ЭКГ - при тахикардии, брадикардии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Автоматическое внеочередное измерение АД по смещению сегмента 8Т выше определенного порога. Порог задается врачом</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Канал непрерывной регистрации двигательной активности и положения тела пациента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160"/>
              <w:jc w:val="left"/>
              <w:rPr>
                <w:sz w:val="14"/>
                <w:szCs w:val="14"/>
              </w:rPr>
            </w:pPr>
            <w:r>
              <w:rPr>
                <w:color w:val="000000"/>
                <w:spacing w:val="0"/>
                <w:w w:val="100"/>
                <w:position w:val="0"/>
                <w:sz w:val="14"/>
                <w:szCs w:val="14"/>
                <w:shd w:val="clear" w:color="auto" w:fill="auto"/>
                <w:lang w:val="ru-RU" w:eastAsia="ru-RU" w:bidi="ru-RU"/>
              </w:rPr>
              <w:t>Встроенный в монитор дисплей</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Электропитание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Аккумуляторы или одноразовые батареи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только одно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178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Обеспечение электробезопасности осуществляется путем подключения монитора к компьютеру через кабельный блок и8В-адаптера с гальванической развязкой, обеспечивающей защиту класс I тип ВГ, в том числе при подключении монитора одновременно к пациенту и к ПК</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Наличие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Значение характеристики не может изменяться участником закупки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Комплект поставки:</w:t>
            </w:r>
          </w:p>
          <w:p>
            <w:pPr>
              <w:pStyle w:val="Style1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Совместимый носимый монитор</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ЭКГ 1 отв., АД и движения/положения тела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81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Комплект поставки:</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Совместимый кабельный с гальванической развязкой блок связи мониторов с ПК через иЗВ- порт</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160" w:right="0" w:firstLine="20"/>
              <w:jc w:val="left"/>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Зарядное устройство для аккумуляторов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Комплект поставки:</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Аккумулятор для мониторов ЭКГ и АД, РПГ и движения/положения тела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&gt;2</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Кабель для подключения одноразовых ЭКГ электродов одно отведение 3-х электродный</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&gt;2</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Комплект поставки:</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Одноразовый ЭКГ-электрод</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&gt;1000</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Манжета большая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Манжета средняя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160"/>
              <w:jc w:val="left"/>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Манжета</w:t>
            </w:r>
          </w:p>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малая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Салфетки для манжет (большие)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Салфетки для манжет (средние)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xml:space="preserve">Комплект поставки: </w:t>
            </w:r>
            <w:r>
              <w:rPr>
                <w:color w:val="000000"/>
                <w:spacing w:val="0"/>
                <w:w w:val="100"/>
                <w:position w:val="0"/>
                <w:sz w:val="14"/>
                <w:szCs w:val="14"/>
                <w:shd w:val="clear" w:color="auto" w:fill="auto"/>
                <w:lang w:val="ru-RU" w:eastAsia="ru-RU" w:bidi="ru-RU"/>
              </w:rPr>
              <w:t>Салфетки для манжет (малые)</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499"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Комплект поставки: Д</w:t>
            </w:r>
            <w:r>
              <w:rPr>
                <w:color w:val="000000"/>
                <w:spacing w:val="0"/>
                <w:w w:val="100"/>
                <w:position w:val="0"/>
                <w:sz w:val="14"/>
                <w:szCs w:val="14"/>
                <w:shd w:val="clear" w:color="auto" w:fill="auto"/>
                <w:lang w:val="ru-RU" w:eastAsia="ru-RU" w:bidi="ru-RU"/>
              </w:rPr>
              <w:t>атчик тонов Короткова</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&gt;1</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шт</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140" w:right="0" w:firstLine="80"/>
              <w:jc w:val="left"/>
              <w:rPr>
                <w:sz w:val="14"/>
                <w:szCs w:val="14"/>
              </w:rPr>
            </w:pPr>
            <w:r>
              <w:rPr>
                <w:color w:val="000000"/>
                <w:spacing w:val="0"/>
                <w:w w:val="100"/>
                <w:position w:val="0"/>
                <w:sz w:val="14"/>
                <w:szCs w:val="14"/>
                <w:shd w:val="clear" w:color="auto" w:fill="auto"/>
                <w:lang w:val="ru-RU" w:eastAsia="ru-RU" w:bidi="ru-RU"/>
              </w:rPr>
              <w:t>Участник закупки указывает в заявке конкретное значение</w:t>
            </w: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top"/>
          </w:tcPr>
          <w:p>
            <w:pPr/>
          </w:p>
        </w:tc>
      </w:tr>
    </w:tbl>
    <w:tbl>
      <w:tblPr>
        <w:tblOverlap w:val="never"/>
        <w:jc w:val="center"/>
        <w:tblLayout w:type="fixed"/>
      </w:tblPr>
      <w:tblGrid>
        <w:gridCol w:w="370"/>
        <w:gridCol w:w="787"/>
        <w:gridCol w:w="667"/>
        <w:gridCol w:w="2242"/>
        <w:gridCol w:w="1704"/>
        <w:gridCol w:w="1699"/>
        <w:gridCol w:w="1560"/>
        <w:gridCol w:w="850"/>
        <w:gridCol w:w="998"/>
      </w:tblGrid>
      <w:tr>
        <w:trPr>
          <w:trHeight w:val="3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характеристики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первому доводу жалобы, совокупности требований, установленных в Описании объекта закупки (Техническом задании), соответствует товар единственного производителя.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Однако, Заказчик в Возражениях указывает следующее. Установленные требования описания объекта закупки не означают требование поставки только оборудования одного производителя, что подтверждается фактическими обстоятельствами, письмами производителей, судебной практикой. Так, на участие в запросе котировок подано две заявки с предложением к поставке оборудований двух разных производителей: 1) Комплекс для многосуточного мониторирования ЭКГ (по Холтеру) и АД «Кардиотехника-07», регистрационное удостоверение № ФСР 2008/01748 (далее - Комплекс «Кардиотехника-07»), производитель - ООО «Инкарт» (Россия); 2) Комплекс аппаратно-программный носимый с цифровой записью одно-, двух-, трехсуточного мониторирования ЭКГ и АД (по Холтеру) «Декорда», регистрационное удостоверение РЗН 2014/972 (далее - Комплекс «Декорда»), производитель - НАО «Институт кардиологической техники» (Россия). Оборудование вышеуказанных производителей обеспечивает все перечисленные в Описании объекта закупки (Техническом задании) характеристики. Оборудование обоих производителей имеет свое собственное регистрационное удостоверение, производится разными производителями.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22.04.2024 № ИЗК1 (далее - Протокол) на участие в закупке подано две заявки. Комиссия Управления изучила данные заявки и установила, что в данных заявках предложено оборудование двух вышеуказанных производителей (ООО «Инкарт» и НАО «Институт кардиологической техники»). При этом, обе заявки отклонены. Заказчик в Возражениях указал, что отклонение заявок участников закупки в данном конкретном случае связано с нарушением инструкции по заполнению заявки.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Заказчик представил на заседение комиссии Управления письмо ООО «Инкарт» исх. б/н от 23.04.2024, адресованное БУЗ ВО «Череповецкая городская больница», в котором указано следующее. В ответ на запрос БУЗ ВО «Череповецкая городская больница» о предоставлении информации о возможности подключения к имеющемуся в БУЗ ВО «Череповецкая городская больница» Комплексу для многосуточного мониторирования с товарным знаком «Кардиотехника» дополнительных регистраторов дгрухих производителей ООО «Инкарт» сообщает, что ООО «Инкарт» является производителем медицинского изделия Комплекс для многосуточного мониторирования ЭКГ (по Холтеру) и АД «Кардиотехника-07», регистрационное удостоверение № ФСР 2008/01748. ООО «Инкарт» указало, что в соответствии с ЭД КТЛБ.9441.054ИС производимое в настоящее время вышеуказанное оборудование «Кардиотнехника-07» обеспечивает полное взаимодействие с имеющимся у БУЗ ВО «Череповецкая городская больница» Комплексом. Также ООО «Инкарт» указало, что Регистраторы, входящие в состав медицинского изделия «Комплекс аппаратно</w:t>
        <w:softHyphen/>
        <w:t>программный носимый с цифровой записью одно-, двух-, трехсуточного мониторирования ЭКГ и АД (по Холтеру) «Декорда» (далее - Комплекс Декорда), регистрационное удостоверение РЗН 2014/972, производства НАО «Институт кардиологической техники», также могут быть подключены к имеющемуся у БУЗ ВО «Череповецкая городская больница» Комплексу длу многосуточного мониторирования ЭКГ (по Холтеру) и АД «Кардиотехника-07» и обеспечивают полноценную и бесперебойную работу с дальнейшей передачей данных на ПК с установленным ПО «Кардиотехника-07».</w:t>
      </w:r>
    </w:p>
    <w:p>
      <w:pPr>
        <w:pStyle w:val="Style4"/>
        <w:keepNext w:val="0"/>
        <w:keepLines w:val="0"/>
        <w:widowControl w:val="0"/>
        <w:shd w:val="clear" w:color="auto" w:fill="auto"/>
        <w:tabs>
          <w:tab w:pos="417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рассматриваемом случае,</w:t>
        <w:tab/>
        <w:t>на участие в закупке подано две заявки с</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предложением о поставке товаров двух разных производителей. Также Заказчиком </w:t>
      </w:r>
      <w:r>
        <w:rPr>
          <w:color w:val="000000"/>
          <w:spacing w:val="0"/>
          <w:w w:val="100"/>
          <w:position w:val="0"/>
          <w:sz w:val="24"/>
          <w:szCs w:val="24"/>
          <w:shd w:val="clear" w:color="auto" w:fill="auto"/>
          <w:lang w:val="ru-RU" w:eastAsia="ru-RU" w:bidi="ru-RU"/>
        </w:rPr>
        <w:t>представлено письмо ООО «Инкарт» (производитель оборудования - «Комплекс для многосуточного мониторирования ЭКГ (по Холтеру) и АД «КАРДИОТЕХНИКА-07»», имеющегося у Заказчика, для совместимости с которым Заказчик в рамках рассматриваемой закупки закупает Регистратор амбулаторный для длительного мониторинга артериального давления), согласно данному письму, ООО «Инкарт» подтвердило, что Регистраторы, входящие в состав медицинского изделия «Комплекс аппаратно-программный носимый с цифровой записью одно-, двух-, трехсуточного мониторирования ЭКГ и АД (по Холтеру) «Декорда», регистрационное удостоверение РЗН 2014/972, производства НАО «Институт кардиологической техники», также могут быть подключены к имеющемуся у БУЗ ВО «Череповецкая городская больница» Комплексу длу многосуточного мониторирования ЭКГ (по Холтеру) и АД «Кардиотехника-07» и обеспечивают полноценную и бесперебойную работу с дальнейшей передачей данных на ПК с установленным ПО «Кардиотехника-07».</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Таким образом, Заказчиком представлены документы, опровергающие позицию Заявителя о соответствии требований Описания объекта закупки (Технического задания) товару единственного производителя. Первый довод Заявителя не нашел своего подтверждения.</w:t>
      </w:r>
    </w:p>
    <w:p>
      <w:pPr>
        <w:pStyle w:val="Style4"/>
        <w:keepNext w:val="0"/>
        <w:keepLines w:val="0"/>
        <w:widowControl w:val="0"/>
        <w:numPr>
          <w:ilvl w:val="0"/>
          <w:numId w:val="5"/>
        </w:numPr>
        <w:shd w:val="clear" w:color="auto" w:fill="auto"/>
        <w:tabs>
          <w:tab w:pos="10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14 ч. 3 ст. 4 Закона о контрактной системе, ЕИС содержит в том числе КТРУ.</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5 ст. 23 Закона о контрактной системе, формирование и ведение в ЕИС КТРУ обеспечиваются федеральным органом исполнительной власти по регулированию контрактной системы в сфере закупок.</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6 ст. 23 Закона о контрактной системе, порядок формирования и ведения в ЕИС КТРУ, а также правила использования КТРУ устанавливаются Правительством Российской Федерации.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формирования и ведения в ЕИС КТРУ и Правила использования КТРУ.</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2 Правил формирования и ведения в ЕИС КТРУ под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ОКПД 2 и включающий в себя информацию в соответствии с настоящими Правилами.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4 Правил использования КТРУ заказчики обязаны применять информацию, включенную в позицию КТРУ в соответствии с пп. «б» - «г» и «е» - «з» п. 10 Правил формирования и ведения в ЕИС КТРУ,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4"/>
        <w:keepNext w:val="0"/>
        <w:keepLines w:val="0"/>
        <w:widowControl w:val="0"/>
        <w:numPr>
          <w:ilvl w:val="0"/>
          <w:numId w:val="7"/>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4"/>
        <w:keepNext w:val="0"/>
        <w:keepLines w:val="0"/>
        <w:widowControl w:val="0"/>
        <w:numPr>
          <w:ilvl w:val="0"/>
          <w:numId w:val="7"/>
        </w:numPr>
        <w:shd w:val="clear" w:color="auto" w:fill="auto"/>
        <w:tabs>
          <w:tab w:pos="11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4"/>
        <w:keepNext w:val="0"/>
        <w:keepLines w:val="0"/>
        <w:widowControl w:val="0"/>
        <w:numPr>
          <w:ilvl w:val="0"/>
          <w:numId w:val="7"/>
        </w:numPr>
        <w:shd w:val="clear" w:color="auto" w:fill="auto"/>
        <w:tabs>
          <w:tab w:pos="105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силу п. 7 Правил использования КТРУ в случае осуществления закупки товара, работы, услуги, в отношении которых в КТРУ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 При проведении предусмотренных Законом о контрактной системе электронных процедур, закрытых электронных процедур </w:t>
      </w:r>
      <w:r>
        <w:rPr>
          <w:color w:val="000000"/>
          <w:spacing w:val="0"/>
          <w:w w:val="100"/>
          <w:position w:val="0"/>
          <w:sz w:val="24"/>
          <w:szCs w:val="24"/>
          <w:shd w:val="clear" w:color="auto" w:fill="auto"/>
          <w:lang w:val="ru-RU" w:eastAsia="ru-RU" w:bidi="ru-RU"/>
        </w:rPr>
        <w:t>характеристики объекта закупки, предусмотренные п. 1 ч. 1 ст. 33 Закона о контрактной системе, указываются с использованием ЕИС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контрактной системе соответственно. В качестве кода КТРУ, на которые в КТРУ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рассматриваемой закупке описание объекта закупки осуществлено с использованием следующего кода ОКПД 2: 26.60.12.129 «Приборы и аппараты для функциональной диагностики прочие, применяемые в медицинских целях, не включенные в другие группировки».</w:t>
      </w:r>
    </w:p>
    <w:p>
      <w:pPr>
        <w:pStyle w:val="Style4"/>
        <w:keepNext w:val="0"/>
        <w:keepLines w:val="0"/>
        <w:widowControl w:val="0"/>
        <w:shd w:val="clear" w:color="auto" w:fill="auto"/>
        <w:tabs>
          <w:tab w:pos="9562" w:val="left"/>
        </w:tabs>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Заказчик относительно второго довода Заявителя, в Возражениях указал следующее. В данной закупке потребность Заказчика заключается в приобретении не просто регистратора артериального давления, а дополнительного регистратора к уже имеющемуся Комплексу «Кардиотехника-07». При этом, Заказчику необходимым регистратор, который помимо измерения артериального давления имеет:</w:t>
        <w:tab/>
        <w:t>-</w:t>
      </w:r>
    </w:p>
    <w:p>
      <w:pPr>
        <w:pStyle w:val="Style4"/>
        <w:keepNext w:val="0"/>
        <w:keepLines w:val="0"/>
        <w:widowControl w:val="0"/>
        <w:shd w:val="clear" w:color="auto" w:fill="auto"/>
        <w:tabs>
          <w:tab w:pos="6403"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дополнительные каналы: канал ЭКГ, канал непрерывной регистрации двигательной активности и положения тела пациента с описанием требований к каналам; - дисплей; - Измерение АД с привязкой к ^К8 комплексу (с синхронизацией по ЭКГ); - Электробезопасность путем подключения монитора к компьютеру через кабельный блок и§В-адаптера с гальванической развязкой, обеспечивающей защиту класс I тип ВР, в том числе при подключении монитора одновременно к пациенту и к ПК; - Осциллометрический метод измерения АД. Указанный Заявителем в жалобе код КТРУ (26.60.12.129-00000202) не позволяет удовлетворить вышеуказанные потребности Заказчика, в связи с чем, он не может быть применен. При осуществлении данной закупки и выборе кода ОКПД 2, Заказчик руководствовался п. 7 Правил использования КТРУ и разъяснением данного пункта Верховным судом Российской Федерации. Потребность Заказчика заключается в приобретении дополнительного регистратора к уже имеющемуся комплексу «Кардиотехника-07». Наличие у Заказчика товара «Кардиотехника-07» подтверждается инвентарной карточкой учета нефинансовых активов. За время эксплуатации Заказчиком были накоплены большие архивы мониторных записей, имеется программное обеспечение для обработки записей. При повторных обследованиях необходимо обеспечивать возможность автоматизированной совместной обработки новой записи (сделанной вновь закупаемым оборудованием) и старой записи этого пациента, уже хранящейся в архиве Заказчика. Такая обработка обеспечивает врача информацией о динамике лечебного процесса. Следует подчеркнуть, что простое визуальное сравнение двух заключений не дает необходимой диагностической информации, требуется именно автоматическое сравнение исходных мониторных записей, что обеспечивается имеющимся у Заказчика программным обеспечением.</w:t>
        <w:tab/>
        <w:t>В связи с указанной выше</w:t>
      </w:r>
    </w:p>
    <w:p>
      <w:pPr>
        <w:pStyle w:val="Style4"/>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необходимостью обеспечения взаимодействия в Описании объекта закупки (Техническом задании) установлены требования обеспечения взаимодействия закупаемого товара с имеющимся у Заказчика Комплексом «Кардиотехника-07». В Описании объекта закупки (Техническом задании) указаны конкретные пункты, в отношении которых должно быть обеспечено взаимодействие:</w:t>
      </w:r>
    </w:p>
    <w:tbl>
      <w:tblPr>
        <w:tblOverlap w:val="never"/>
        <w:jc w:val="center"/>
        <w:tblLayout w:type="fixed"/>
      </w:tblPr>
      <w:tblGrid>
        <w:gridCol w:w="8213"/>
        <w:gridCol w:w="1651"/>
      </w:tblGrid>
      <w:tr>
        <w:trPr>
          <w:trHeight w:val="634" w:hRule="exact"/>
        </w:trPr>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Обеспечивается совместимость (взаимодействие) закупаемого оборудования с имеющимся у Заказчика оборудованием «Комплекс для многосуточного мониторирования ЭКГ (по Холтеру) и АД "КАРДИОТЕХНИКА-07"»</w:t>
            </w:r>
          </w:p>
        </w:tc>
        <w:tc>
          <w:tcPr>
            <w:tcBorders>
              <w:top w:val="single" w:sz="4"/>
              <w:left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наличие</w:t>
            </w:r>
          </w:p>
        </w:tc>
      </w:tr>
      <w:tr>
        <w:trPr>
          <w:trHeight w:val="422" w:hRule="exact"/>
        </w:trPr>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Записи мониторирования, полученные с вновь приобретаемого оборудования, обрабатываются на имеющемся у Заказчика Комплексе «Кардиотехника-07».</w:t>
            </w:r>
          </w:p>
        </w:tc>
        <w:tc>
          <w:tcPr>
            <w:tcBorders>
              <w:top w:val="single" w:sz="4"/>
              <w:left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наличие</w:t>
            </w:r>
          </w:p>
        </w:tc>
      </w:tr>
      <w:tr>
        <w:trPr>
          <w:trHeight w:val="437" w:hRule="exact"/>
        </w:trPr>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Для записей, полученных на приобретаемом оборудовании, обеспечивается совместная обработка и автоматическое сравнение с записями этого же пациента, полученными ранее с использование</w:t>
            </w:r>
          </w:p>
        </w:tc>
        <w:tc>
          <w:tcPr>
            <w:tcBorders>
              <w:top w:val="single" w:sz="4"/>
              <w:left w:val="single" w:sz="4"/>
              <w:bottom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наличие</w:t>
            </w:r>
          </w:p>
        </w:tc>
      </w:tr>
    </w:tbl>
    <w:tbl>
      <w:tblPr>
        <w:tblOverlap w:val="never"/>
        <w:jc w:val="center"/>
        <w:tblLayout w:type="fixed"/>
      </w:tblPr>
      <w:tblGrid>
        <w:gridCol w:w="8213"/>
        <w:gridCol w:w="1651"/>
      </w:tblGrid>
      <w:tr>
        <w:trPr>
          <w:trHeight w:val="427" w:hRule="exact"/>
        </w:trPr>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Комплекса «Кардиотехника-07» и хранящимися в архиве Заказчика, с выделением статистически значимых отличий между записями.</w:t>
            </w:r>
          </w:p>
        </w:tc>
        <w:tc>
          <w:tcPr>
            <w:tcBorders>
              <w:top w:val="single" w:sz="4"/>
              <w:left w:val="single" w:sz="4"/>
              <w:right w:val="single" w:sz="4"/>
            </w:tcBorders>
            <w:shd w:val="clear" w:color="auto" w:fill="auto"/>
            <w:vAlign w:val="top"/>
          </w:tcPr>
          <w:p>
            <w:pPr>
              <w:widowControl w:val="0"/>
              <w:rPr>
                <w:sz w:val="10"/>
                <w:szCs w:val="10"/>
              </w:rPr>
            </w:pPr>
          </w:p>
        </w:tc>
      </w:tr>
      <w:tr>
        <w:trPr>
          <w:trHeight w:val="1056" w:hRule="exact"/>
        </w:trPr>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Записи, полученные на закупаемом оборудовании, автоматически обрабатываются с полным сохранением установок предыдущей (архивной) записи этого же пациента, хранящейся в архиве Комплекса «Кардиотехника-07» Заказчика, с использованием тех же названий выявленных феноменов, с автоматическим выделением новых феноменов (артефактов и т.д), отсутствующих на предыдущей записи.</w:t>
            </w:r>
          </w:p>
        </w:tc>
        <w:tc>
          <w:tcPr>
            <w:tcBorders>
              <w:top w:val="single" w:sz="4"/>
              <w:left w:val="single" w:sz="4"/>
              <w:bottom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наличие</w:t>
            </w:r>
          </w:p>
        </w:tc>
      </w:tr>
    </w:tbl>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Таким образом, нужды Заказчика заключаются в приобретении товара, который бы обеспечивал взаимодействие с уже имеющимся у Заказчика товаром.</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ЕИС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извещении о проведении запроса котировок установлено ограничение по Постановлению № 878.</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рассматриваемом случае, Заказчиком представлена информация и документы, подтверждающие наличие у него «Комплекса для многосуточного мониторирования ЭКГ (по Холтеру) и АД «КАРДИОТЕХНИКА-07»» для совместимости с которым осуществляется закупка товара в рамках рассматриваемой закупки. Ввиду отсутствия в КТРУ позиции, отвечающей потребностям Заказчика, а также в целях необходимости обеспечения указанной совместимости, Заказчиком осуществлено описание объекта закупки с использованием кода ОКПД 2.</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Таким образом, комиссией Управления установлено, что описание объекта закупки сформировано в соответствии с требованиями ст. 33 Закона о контрактной системе. Характеристики поставляемого товара установлены в соответствии с потребностью Заказчика и исходя из специфики осуществляемой деятельности. Второй довод Заявителя не нашел своего подтверждения.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11"/>
        <w:keepNext/>
        <w:keepLines/>
        <w:widowControl w:val="0"/>
        <w:shd w:val="clear" w:color="auto" w:fill="auto"/>
        <w:bidi w:val="0"/>
        <w:spacing w:before="0" w:after="30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РЕШИЛА:</w:t>
      </w:r>
      <w:bookmarkEnd w:id="10"/>
    </w:p>
    <w:p>
      <w:pPr>
        <w:pStyle w:val="Style4"/>
        <w:keepNext w:val="0"/>
        <w:keepLines w:val="0"/>
        <w:widowControl w:val="0"/>
        <w:shd w:val="clear" w:color="auto" w:fill="auto"/>
        <w:tabs>
          <w:tab w:pos="14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w:t>
        <w:tab/>
        <w:t>Признать жалобу ООО «АНГИОТЕК» необоснованной.</w:t>
      </w:r>
    </w:p>
    <w:p>
      <w:pPr>
        <w:pStyle w:val="Style4"/>
        <w:keepNext w:val="0"/>
        <w:keepLines w:val="0"/>
        <w:widowControl w:val="0"/>
        <w:shd w:val="clear" w:color="auto" w:fill="auto"/>
        <w:tabs>
          <w:tab w:pos="14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w:t>
        <w:tab/>
        <w:t>Требование о приостановке определения поставщика (подрядчика,</w:t>
      </w:r>
    </w:p>
    <w:p>
      <w:pPr>
        <w:pStyle w:val="Style4"/>
        <w:keepNext w:val="0"/>
        <w:keepLines w:val="0"/>
        <w:widowControl w:val="0"/>
        <w:shd w:val="clear" w:color="auto" w:fill="auto"/>
        <w:bidi w:val="0"/>
        <w:spacing w:before="0" w:after="300" w:line="240" w:lineRule="auto"/>
        <w:ind w:left="0" w:right="0" w:firstLine="0"/>
        <w:jc w:val="both"/>
      </w:pPr>
      <w:r>
        <w:rPr>
          <w:color w:val="000000"/>
          <w:spacing w:val="0"/>
          <w:w w:val="100"/>
          <w:position w:val="0"/>
          <w:sz w:val="24"/>
          <w:szCs w:val="24"/>
          <w:shd w:val="clear" w:color="auto" w:fill="auto"/>
          <w:lang w:val="ru-RU" w:eastAsia="ru-RU" w:bidi="ru-RU"/>
        </w:rPr>
        <w:t>исполнителя) в части подписания контракта, установленное Управлением на основании ч. 7 ст. 106 Закона о контрактной системе, отменить.</w:t>
      </w:r>
    </w:p>
    <w:p>
      <w:pPr>
        <w:pStyle w:val="Style4"/>
        <w:keepNext w:val="0"/>
        <w:keepLines w:val="0"/>
        <w:widowControl w:val="0"/>
        <w:shd w:val="clear" w:color="auto" w:fill="auto"/>
        <w:bidi w:val="0"/>
        <w:spacing w:before="0" w:after="300" w:line="240" w:lineRule="auto"/>
        <w:ind w:left="0" w:right="0" w:firstLine="74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tbl>
      <w:tblPr>
        <w:tblOverlap w:val="never"/>
        <w:jc w:val="right"/>
        <w:tblLayout w:type="fixed"/>
      </w:tblPr>
      <w:tblGrid>
        <w:gridCol w:w="3912"/>
        <w:gridCol w:w="2707"/>
        <w:gridCol w:w="2342"/>
      </w:tblGrid>
      <w:tr>
        <w:trPr>
          <w:trHeight w:val="422"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1340" w:right="0" w:firstLine="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И.А. Смышляева</w:t>
            </w:r>
          </w:p>
        </w:tc>
      </w:tr>
      <w:tr>
        <w:trPr>
          <w:trHeight w:val="571" w:hRule="exact"/>
        </w:trPr>
        <w:tc>
          <w:tcPr>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center"/>
          </w:tcPr>
          <w:p>
            <w:pPr>
              <w:pStyle w:val="Style16"/>
              <w:keepNext w:val="0"/>
              <w:keepLines w:val="0"/>
              <w:widowControl w:val="0"/>
              <w:shd w:val="clear" w:color="auto" w:fill="auto"/>
              <w:bidi w:val="0"/>
              <w:spacing w:before="0" w:after="0" w:line="240" w:lineRule="auto"/>
              <w:ind w:left="1340" w:right="0" w:firstLine="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Ю.Н. Кузнецова</w:t>
            </w:r>
          </w:p>
        </w:tc>
      </w:tr>
      <w:tr>
        <w:trPr>
          <w:trHeight w:val="389" w:hRule="exact"/>
        </w:trPr>
        <w:tc>
          <w:tcPr>
            <w:tcBorders/>
            <w:shd w:val="clear" w:color="auto" w:fill="auto"/>
            <w:vAlign w:val="top"/>
          </w:tcPr>
          <w:p>
            <w:pPr>
              <w:widowControl w:val="0"/>
              <w:rPr>
                <w:sz w:val="10"/>
                <w:szCs w:val="10"/>
              </w:rPr>
            </w:pPr>
          </w:p>
        </w:tc>
        <w:tc>
          <w:tcPr>
            <w:tcBorders/>
            <w:shd w:val="clear" w:color="auto" w:fill="auto"/>
            <w:vAlign w:val="bottom"/>
          </w:tcPr>
          <w:p>
            <w:pPr>
              <w:pStyle w:val="Style16"/>
              <w:keepNext w:val="0"/>
              <w:keepLines w:val="0"/>
              <w:widowControl w:val="0"/>
              <w:shd w:val="clear" w:color="auto" w:fill="auto"/>
              <w:bidi w:val="0"/>
              <w:spacing w:before="0" w:after="0" w:line="240" w:lineRule="auto"/>
              <w:ind w:left="1340" w:right="0" w:firstLine="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Шпякина</w:t>
            </w:r>
          </w:p>
        </w:tc>
      </w:tr>
    </w:tbl>
    <w:sectPr>
      <w:headerReference w:type="default" r:id="rId7"/>
      <w:headerReference w:type="first" r:id="rId8"/>
      <w:footnotePr>
        <w:pos w:val="pageBottom"/>
        <w:numFmt w:val="decimal"/>
        <w:numRestart w:val="continuous"/>
      </w:footnotePr>
      <w:pgSz w:w="11900" w:h="16840"/>
      <w:pgMar w:top="1132" w:right="580" w:bottom="995" w:left="444"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6677660</wp:posOffset>
              </wp:positionH>
              <wp:positionV relativeFrom="page">
                <wp:posOffset>478155</wp:posOffset>
              </wp:positionV>
              <wp:extent cx="106680" cy="88265"/>
              <wp:wrapNone/>
              <wp:docPr id="2" name="Shape 2"/>
              <a:graphic xmlns:a="http://schemas.openxmlformats.org/drawingml/2006/main">
                <a:graphicData uri="http://schemas.microsoft.com/office/word/2010/wordprocessingShape">
                  <wps:wsp>
                    <wps:cNvSpPr txBox="1"/>
                    <wps:spPr>
                      <a:xfrm>
                        <a:ext cx="106680" cy="882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25.79999999999995pt;margin-top:37.649999999999999pt;width:8.4000000000000004pt;height:6.9500000000000002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sz w:val="22"/>
      <w:szCs w:val="22"/>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Другое_"/>
    <w:basedOn w:val="DefaultParagraphFont"/>
    <w:link w:val="Style16"/>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240"/>
      <w:jc w:val="center"/>
    </w:pPr>
    <w:rPr>
      <w:rFonts w:ascii="Times New Roman" w:eastAsia="Times New Roman" w:hAnsi="Times New Roman" w:cs="Times New Roman"/>
      <w:b/>
      <w:bCs/>
      <w:i w:val="0"/>
      <w:iCs w:val="0"/>
      <w:smallCaps w:val="0"/>
      <w:strike w:val="0"/>
      <w:sz w:val="22"/>
      <w:szCs w:val="22"/>
      <w:u w:val="none"/>
    </w:rPr>
  </w:style>
  <w:style w:type="paragraph" w:customStyle="1" w:styleId="Style4">
    <w:name w:val="Основной текст"/>
    <w:basedOn w:val="Normal"/>
    <w:link w:val="CharStyle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Заголовок №1"/>
    <w:basedOn w:val="Normal"/>
    <w:link w:val="CharStyle12"/>
    <w:pPr>
      <w:widowControl w:val="0"/>
      <w:shd w:val="clear" w:color="auto" w:fill="auto"/>
      <w:ind w:left="2360"/>
      <w:outlineLvl w:val="0"/>
    </w:pPr>
    <w:rPr>
      <w:rFonts w:ascii="Times New Roman" w:eastAsia="Times New Roman" w:hAnsi="Times New Roman" w:cs="Times New Roman"/>
      <w:b/>
      <w:bCs/>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Другое"/>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Решение</dc:title>
  <dc:subject/>
  <dc:creator>Жирнов А.А.</dc:creator>
  <cp:keywords/>
</cp:coreProperties>
</file>