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7475" distL="1174750" distR="113919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1033145" distL="168910" distR="142240" simplePos="0" relativeHeight="125829379" behindDoc="0" locked="0" layoutInCell="1" allowOverlap="1">
                <wp:simplePos x="0" y="0"/>
                <wp:positionH relativeFrom="page">
                  <wp:posOffset>778510</wp:posOffset>
                </wp:positionH>
                <wp:positionV relativeFrom="paragraph">
                  <wp:posOffset>622300</wp:posOffset>
                </wp:positionV>
                <wp:extent cx="2514600" cy="161226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0" cy="1612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  <w:br/>
                              <w:t>ИНН 8601009316 КПП 860101001 ОГРН 1028600512093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300000000000004pt;margin-top:49.pt;width:198.pt;height:126.95pt;z-index:-125829374;mso-wrap-distance-left:13.300000000000001pt;mso-wrap-distance-top:48.pt;mso-wrap-distance-right:11.200000000000001pt;mso-wrap-distance-bottom:81.3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  <w:br/>
                        <w:t>ИНН 8601009316 КПП 860101001 ОГРН 1028600512093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1720" distB="792480" distL="114300" distR="132715" simplePos="0" relativeHeight="125829381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2344420</wp:posOffset>
                </wp:positionV>
                <wp:extent cx="2578735" cy="1308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184.59999999999999pt;width:203.05000000000001pt;height:10.300000000000001pt;z-index:-125829372;mso-wrap-distance-left:9.pt;mso-wrap-distance-top:183.5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75305" distB="0" distL="117475" distR="114300" simplePos="0" relativeHeight="125829383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3088005</wp:posOffset>
            </wp:positionV>
            <wp:extent cx="2597150" cy="18288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2652395</wp:posOffset>
                </wp:positionV>
                <wp:extent cx="2578735" cy="1308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pt;margin-top:208.84999999999999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39700" distB="0" distL="114300" distR="114300" simplePos="0" relativeHeight="125829384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9257030</wp:posOffset>
            </wp:positionV>
            <wp:extent cx="1517650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"ЕЭТП"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115114, Россия, Москва, ул. Кожевническая,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9" w:val="left"/>
        </w:tabs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стр. 5.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«Кит»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620138, Свердловская обл, г. Екатеринбург, ул.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Хрустальная д.49-А, оф.302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бюджетное учреждение по работе с подростками и молодежью по месту жительства «Вариант»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628400, г. Сургут, ул. Декабристов, дом 3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города Сургута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628416, г. Сургут, ул. Декабристов, д. 3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086/06/48-589/2024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tabs>
          <w:tab w:pos="786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24.04.2024</w:t>
        <w:tab/>
        <w:t>г. Ханты-Мансийск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27.04.2024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Андрейцева Е.А.- Начальник отдела Управления;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Мацола А.А. - Старший специалист 1 разряда отдела Управления,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Заявителя - посредством видеоконференц-связи Жарков А.В. по доверенности №б/н от 09.01.2024;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Заказчика - посредством видеоконференц-связи Фролов А.Г. по доверенности №б/н от 24.04.2024;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Уполномоченного органа - посредством видеоконференц-связи Абдулина А.С. по доверенности №422 от 21.11.2023,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«Кит» (ИНН: 6670273460; ОГРН: 1096670032700) от 19.04.2024 №3917/24, на действия Заказчика - Муниципальное бюджетное учреждение по работе с подростка</w:t>
        <w:softHyphen/>
        <w:t>ми и молодежью по месту жительства «Вариант», Уполномоченного органа - Администрация горо</w:t>
        <w:softHyphen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 Сургута, при проведении электронного аукциона, предметом которого является поставка проек</w:t>
        <w:softHyphen/>
        <w:t>тора, экрана для проектора (извещение № 0187300006524000352) и в результате осуществления внеплановой проверки в соответствии с пунктом 1 части 15 статьи 99 Федерального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ООО «Кит» (ИНН: 6670273460; ОГРН: 1096670032700) от 19.04.2024 №3917/24, на действия Заказчика - Муниципальное бюджетное учреждение по работе с подростками и молодежью по месту жительства «Вариант», Уполномоченного органа - Администрация города Сургута, при проведении электронного аукциона, предметом которого является поставка проектора, экрана для проектора (извещение № 0187300006524000352).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доводах жалобы Заявитель указал следующее: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0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считает, что отклонение его заявки на участие в электронном конкурсе являет</w:t>
        <w:softHyphen/>
        <w:t>ся неправомерным.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дела, Комиссией Управления установлено следующее.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жалобы Комиссия Управления поясняет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12 статьи 48 Закона о контрактной системе проведение электронного аукци</w:t>
        <w:softHyphen/>
        <w:t>она при рассмотрении вторых частей заявок на участие в закупке соответствующая заявка подле</w:t>
        <w:softHyphen/>
        <w:t>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</w:t>
        <w:softHyphen/>
        <w:t>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</w:t>
        <w:softHyphen/>
        <w:t>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</w:t>
        <w:softHyphen/>
        <w:t>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</w:t>
        <w:softHyphen/>
        <w:t>ствлении закупки в соответствии с частью 1 статьи 31 настоящего Федерального закона, требова</w:t>
        <w:softHyphen/>
        <w:t>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</w:t>
        <w:softHyphen/>
        <w:t>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</w:t>
        <w:softHyphen/>
        <w:t>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^ 127-ФЗ "О мерах воздействия (противодей</w:t>
        <w:softHyphen/>
        <w:t>ствия) на недружественные действия Соединенных Штатов Америки и иных иностранных госу</w:t>
        <w:softHyphen/>
        <w:t>дарств", в случае осуществления закупки работ, услуг, включенных в перечень, определенный Пра</w:t>
        <w:softHyphen/>
        <w:t>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48" w:val="left"/>
        </w:tabs>
        <w:bidi w:val="0"/>
        <w:spacing w:before="0" w:after="2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</w:t>
        <w:softHyphen/>
        <w:t>стие в закупке, но не позднее даты подведения итогов определения поставщика (подрядчика, ис</w:t>
        <w:softHyphen/>
        <w:t>полнителя), установленной в извещении об осуществлении закупки члены комиссии по осуще</w:t>
        <w:softHyphen/>
        <w:t>ствлению закупок рассматривают заявки на участие в закупке, информацию и документы, направ</w:t>
        <w:softHyphen/>
        <w:t>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</w:t>
        <w:softHyphen/>
        <w:t>ренным пунктами 1 - 8 части 12 статьи 48 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«а» пункта 2 части 1 статьи 43 Закона о контрактной системе заявка на участие в закупке должна содержать предложение участника закупки в отношении объекта закуп</w:t>
        <w:softHyphen/>
        <w:t>ки, в том числе с учетом положений части 2 статьи 43 Закона о контрактной системе характеристи</w:t>
        <w:softHyphen/>
        <w:t>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18.04.2024 №ИЭА1 подано 8 заявок (из них 5 соответствует требованиям ; отклонено 2, в том числе и заявка Заявителя).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Заявка №5 (ООО «Кит») отклонена на основании следующего: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«Не соответствует п.1 ч.12 ст.48 Федерального закона №44-ФЗ, извещению об осуществле</w:t>
        <w:softHyphen/>
        <w:t>нии закупки, инструкции по заполнению заявки на участие в закупке Приложения 3 к извещению об осуществлении закупки: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п. Проектор значение характеристики предлагаемого товара не соответствует значению в описании объекта закупки (Приложение 1 к извещению об осуществлении закупки): контрастность»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предмет закупки: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Поставка проектора, экрана для проектора.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описанию объекта закупки (извещение №0187300006524000352) Заказчику требу</w:t>
        <w:softHyphen/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leader="underscore" w:pos="3514" w:val="left"/>
          <w:tab w:leader="underscore" w:pos="101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ется следующее.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  <w:tab/>
        <w:tab/>
      </w:r>
    </w:p>
    <w:tbl>
      <w:tblPr>
        <w:tblOverlap w:val="never"/>
        <w:jc w:val="center"/>
        <w:tblLayout w:type="fixed"/>
      </w:tblPr>
      <w:tblGrid>
        <w:gridCol w:w="490"/>
        <w:gridCol w:w="1546"/>
        <w:gridCol w:w="1512"/>
        <w:gridCol w:w="2515"/>
        <w:gridCol w:w="2141"/>
        <w:gridCol w:w="2026"/>
      </w:tblGrid>
      <w:tr>
        <w:trPr>
          <w:trHeight w:val="24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 товара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КОД ОКПД2/КТРУ, наименование по КТРУ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Характеристики товара по КТРУ</w:t>
            </w:r>
          </w:p>
        </w:tc>
      </w:tr>
      <w:tr>
        <w:trPr>
          <w:trHeight w:val="146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 показателя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Значения показателей, которые не могут изменяться (неизменяемое)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Максимальное и (или) минимальное значение показателей (конкретное значение показателя устанавливает участник закупки)</w:t>
            </w:r>
          </w:p>
        </w:tc>
      </w:tr>
      <w:tr>
        <w:trPr>
          <w:trHeight w:val="22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Проектор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26.20.17.120 / 26.20.17.120</w:t>
              <w:softHyphen/>
              <w:t>00000001 Проектор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проектора: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Стационарный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Технология проецирования: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1)11’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Поддерживаемые форматы изображения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16:9, 16:10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Яркость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3000 Люмен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Контрастность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10 000:1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Поддерживаемое разрешение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Ги11 НВ (1920x1080)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Разъемы подключения: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НОМ!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монтажа: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Настольный, Потолочный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Экран для проектора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26.70.17.150/26.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70.17.150</w:t>
              <w:softHyphen/>
              <w:t>00000004 Экран для проектора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размещения: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Настенный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Наличие электропривода: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Высота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180 и &lt; 210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Сантиметр</w:t>
            </w:r>
          </w:p>
        </w:tc>
      </w:tr>
      <w:tr>
        <w:trPr>
          <w:trHeight w:val="43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Длина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300 и &lt; 350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Сантиметр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покрытия полотна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Матовое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конструкции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Подпружиненный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установки: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Стационарный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согласно пункту 5 инструкции по заполнению заявки на участие в закупке, изложенной в Приложении 3 к извещению об осуществлении закупки указано следующее.</w:t>
      </w:r>
    </w:p>
    <w:tbl>
      <w:tblPr>
        <w:tblOverlap w:val="never"/>
        <w:jc w:val="center"/>
        <w:tblLayout w:type="fixed"/>
      </w:tblPr>
      <w:tblGrid>
        <w:gridCol w:w="4210"/>
        <w:gridCol w:w="6010"/>
      </w:tblGrid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Положения инструкции по заполнению характеристик в заявке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Пояснения</w:t>
            </w: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 с учетом положений раздела 5.2 настоящей инструкции.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Значения характеристики не может изменяться участником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все перечисленные значения характеристики, независимо от значения слов и символов, применяемых при установлении данного требования.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12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502" w:val="left"/>
        </w:tabs>
        <w:bidi w:val="0"/>
        <w:spacing w:before="0" w:after="8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При установлении требований к значению характеристик применяются следующие символы:</w:t>
      </w:r>
    </w:p>
    <w:tbl>
      <w:tblPr>
        <w:tblOverlap w:val="never"/>
        <w:jc w:val="center"/>
        <w:tblLayout w:type="fixed"/>
      </w:tblPr>
      <w:tblGrid>
        <w:gridCol w:w="4272"/>
        <w:gridCol w:w="5947"/>
      </w:tblGrid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Слова/символы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Пояснения</w:t>
            </w:r>
          </w:p>
        </w:tc>
      </w:tr>
      <w:tr>
        <w:trPr>
          <w:trHeight w:val="6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 и &lt;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Участником предоставляется конкретное значение равное или превышающее левое значение и менее правого значения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конкретное значение равное или превышающее установленного.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101" w:val="left"/>
          <w:tab w:leader="underscore" w:pos="7349" w:val="left"/>
          <w:tab w:leader="underscore" w:pos="8592" w:val="left"/>
          <w:tab w:leader="underscore" w:pos="10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Изучив заявку ООО «Кит» Комиссией Управление установлено, что участник предложил к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поставке товар со следующими характеристиками.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ab/>
        <w:tab/>
        <w:tab/>
      </w:r>
    </w:p>
    <w:tbl>
      <w:tblPr>
        <w:tblOverlap w:val="never"/>
        <w:jc w:val="center"/>
        <w:tblLayout w:type="fixed"/>
      </w:tblPr>
      <w:tblGrid>
        <w:gridCol w:w="2107"/>
        <w:gridCol w:w="4018"/>
        <w:gridCol w:w="1248"/>
        <w:gridCol w:w="1243"/>
        <w:gridCol w:w="1603"/>
      </w:tblGrid>
      <w:tr>
        <w:trPr>
          <w:trHeight w:val="9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Инструкция по заполнению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Допустимые значения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Значения характеристики, предлагаемые участником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Контрастность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&gt;= 10 000:1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10000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проектора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Стационарны 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Стационарный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Яркость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Люмен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&gt;=3000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3000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Разъемы подключения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ИВМ!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ИВМ!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Поддерживаемое разрешение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Ги11 НВ (1920х1080)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Ги11 НВ (1920х1080)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Технология проецирования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В11’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В11’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Тип монтажа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Настольный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Настольный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Потолочный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Потолочный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Поддерживаемые форматы изображения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16:9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16:9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16:10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16:10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составе заявки Заявителя в отношении товара «проектор» по показателю характеристики «контрастность» указано значение - 10 000, что не соответствует значению харак</w:t>
        <w:softHyphen/>
        <w:t>теристики, установленной в описании объекта закупки - 10 000:1.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Заявитель, ссылаясь на инструкцию по заполнению заявки на участие в закупке, считает, что величина контрастности в размере 10 000, указанная в его заявке, фактически соответствует требуемой Заказчиком величине контрастности 10 000:1, поскольку данное значение делится на единицу и таковым же остается.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 контрастностью понимается отношение максимальной яркости экрана (при показе бе</w:t>
        <w:softHyphen/>
        <w:t>лого поля) к минимальной яркости (при показе черного поля).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Соотношение в 10 000:1 означает, что измерительный прибор зафиксировал, что яркость белого в 10 000 раз больше, чем яркость черного.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Ввиду того, что измерение данного параметра выражается в соотношении одного показате</w:t>
        <w:softHyphen/>
        <w:t>ля к другому, необходимо указывать значение показателя как до, так и после знака «:».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этого, Заявитель в своей жалобе указывает следующее: «указывая такое значение ха</w:t>
        <w:softHyphen/>
        <w:t>рактеристики нами подразумевалось подтвердить соответствие поставляемого нами товара, это не допускает иных толкований кроме того, что контрастность проектора, соответствует значению 10 000:1».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Однако при рассмотрении заявок участников закупки члены комиссии по осуществлению закупок руководствуются исключительно информацией, указанной в составе заявки Заявителя и не могут догадываться, что подразумевал Заявитель, указывая значение характеристики «10 000».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предложенный Участником закупки товар не соответству</w:t>
        <w:softHyphen/>
        <w:t>ет установленным требованиям Заказчика, в связи с чем заявка ООО «Кит» была правомерно от</w:t>
        <w:softHyphen/>
        <w:t>клонена Комиссией по осуществлению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жалобы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ООО «Кит» (ИНН: 6670273460; ОГРН: 1096670032700) от 19.04.2024 №3917/24 рассмотрена Комиссией Управления в соответствии с требованиями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</w:t>
        <w:softHyphen/>
        <w:t>ководствуясь положениями статей 99, 106 Закона о контрактной системе, Комиссия Управления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«Кит» (ИНН: 6670273460; ОГРН: 1096670032700) от 19.04.2024 №3917/24, на действия Заказчика - Муниципальное бюджетное учреждение по работе с подростками и молодежью по месту жительства «Вариант», Уполномоченного органа - Администрация города Сургута, при проведении электронного аукциона, предметом которого является поставка проектора, экрана для проектора (извещение № 0187300006524000352) необоснованной.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Обязательное для исполнения предписание не выдавать.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9" w:val="left"/>
        </w:tabs>
        <w:bidi w:val="0"/>
        <w:spacing w:before="0" w:after="8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сайте единой информационной системы в сфере закупок (\\л\л\'.хакирк1.до\'.ги).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701040" distL="114300" distR="278765" simplePos="0" relativeHeight="125829385" behindDoc="0" locked="0" layoutInCell="1" allowOverlap="1">
                <wp:simplePos x="0" y="0"/>
                <wp:positionH relativeFrom="page">
                  <wp:posOffset>5873115</wp:posOffset>
                </wp:positionH>
                <wp:positionV relativeFrom="paragraph">
                  <wp:posOffset>12700</wp:posOffset>
                </wp:positionV>
                <wp:extent cx="981710" cy="21971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Валиуллин Р.Р.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2.44999999999999pt;margin-top:1.pt;width:77.299999999999997pt;height:17.300000000000001pt;z-index:-125829368;mso-wrap-distance-left:9.pt;mso-wrap-distance-right:21.949999999999999pt;mso-wrap-distance-bottom:55.200000000000003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Валиуллин Р.Р.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01040" distB="0" distL="135890" distR="114300" simplePos="0" relativeHeight="125829387" behindDoc="0" locked="0" layoutInCell="1" allowOverlap="1">
                <wp:simplePos x="0" y="0"/>
                <wp:positionH relativeFrom="page">
                  <wp:posOffset>5894705</wp:posOffset>
                </wp:positionH>
                <wp:positionV relativeFrom="paragraph">
                  <wp:posOffset>713740</wp:posOffset>
                </wp:positionV>
                <wp:extent cx="1124585" cy="21971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Андрейцева Е.А.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4.15000000000003pt;margin-top:56.200000000000003pt;width:88.549999999999997pt;height:17.300000000000001pt;z-index:-125829366;mso-wrap-distance-left:10.700000000000001pt;mso-wrap-distance-top:55.2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Андрейцева Е.А.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70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Мацола А.А.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981" w:right="539" w:bottom="1197" w:left="110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9996805</wp:posOffset>
              </wp:positionV>
              <wp:extent cx="63690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2024-3061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50000000000001pt;margin-top:787.14999999999998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2024-3061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9996805</wp:posOffset>
              </wp:positionV>
              <wp:extent cx="636905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2024-3061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pt;margin-top:787.14999999999998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2024-3061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4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5"/>
      <w:numFmt w:val="decimal"/>
      <w:lvlText w:val="%1."/>
    </w:lvl>
    <w:lvl w:ilvl="1">
      <w:start w:val="2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8"/>
      <w:szCs w:val="18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Подпись к таблиц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9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line="271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8"/>
      <w:szCs w:val="18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left="5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Подпись к таблиц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