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4420" distR="1059180" simplePos="0" relativeHeight="125829378" behindDoc="0" locked="0" layoutInCell="1" allowOverlap="1">
            <wp:simplePos x="0" y="0"/>
            <wp:positionH relativeFrom="page">
              <wp:posOffset>1781175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821055</wp:posOffset>
                </wp:positionH>
                <wp:positionV relativeFrom="paragraph">
                  <wp:posOffset>622300</wp:posOffset>
                </wp:positionV>
                <wp:extent cx="241681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  <w:tab w:pos="2525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5.05.2024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19050/24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650000000000006pt;margin-top:49.pt;width:190.30000000000001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  <w:tab w:pos="2525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5.05.2024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19050/24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88900" distB="0" distL="114300" distR="114300" simplePos="0" relativeHeight="125829381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9638030</wp:posOffset>
            </wp:positionV>
            <wp:extent cx="1511935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№ 67 им. Л. А. Ворохобова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дкЪ67@тЪох.ги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«Международная Медицинская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Компания»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2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огдег@ттедсо.ги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077/06/106-6058/2024 о нарушении</w:t>
        <w:br/>
        <w:t>законодательства о контрактной системе</w:t>
        <w:br/>
        <w:t>08.05.2024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 - 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- эксперта отдела обжалования государственных закупок О.А. Челновой,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 проводилось дистанционно (посредством конференц</w:t>
        <w:softHyphen/>
        <w:t>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«ГКБ № 67 им. Л.А. Ворохобова ДЗМ»: М.И. Киричковой (по доверенности от 02.10.2023),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«Международная Медицинская Компания»,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жалобы ООО «Международная Медицинская Компания» (далее — Заявитель) на действия ГБУЗ «ГКБ № 67 им. Л. А. Ворохобова ДЗМ» (далее — Заказчик) при проведении электронных аукционов на право заключения государственных контрактов на поставку реагентов для определения СА-125 (ОУ- монитор) на анализаторе ^xI (Закупка №0373200011424000517), поставку буфера промывающего для анализатора ^xI (Закупка №0373200011424000515) (далее -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аукционы)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поступили жалобы Заявителя на действия Заказчика при проведении указанного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представленные документы и сведения, запрашиваемые письмом Московским УФАС России посредством Единой информационной системы, Комиссия Управления установила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Заказчика, выразившиеся в установлении в составе извещения данной закупочной процедуры неправомерных требований к гарантийным обязательствам и сроку годности закупаемого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Ч.1 ст.33 Закона о контрактной системе установлено, что Заказчик в случаях, предусмотренных Законом о контрактной системе, при описании объекта закупки должен руководствоваться следующими правилами: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«или эквивалент»;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использование при составлении описания объекта закупки показателей,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Техническому заданию Заказчиком закупаются реагенты и расходные материалы для анализаторов иммунохимических «АССЕ88 2», «1)Х1600», «1)Х18000, производства «Весктап СоиНег» и установлены требования, в том числе, следующие требования: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п. 2.12: В соответствии с требованиями Контракта Поставщик предоставляет Заказчику отчетную документацию и электронный структурированный Документ о приемке. Комплект отчетной документации должен включать, в том числе: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оригиналы документов, подтверждающих гарантийные обязательства Поставщика и производителя (изготоаителя) товара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 3.2: Срок годности на товар должен быть не менее срока, установленного производителем (изготовителем) товара. В случае, если производитель (изготовитель) не установил срок годности товара, он должен составлять не менее 12 (двенадцати) месяцев с даты подписания документов о приемке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 силу ч. 4 ст. 33 Закона о контрактной системы 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товара, устанавливаются заказчиком при необходимости. В случае определения поставщика машин и оборудования заказчик устанавливает требования к гарантийному сроку товара и (или) объему предоставления гарантий его качества, к гарантийному обслуживанию товара, к расходам на обслуживание товара в течение гарантийного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2024-21607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срока, а также к осуществлению монтажа и наладки товара, если это предусмотрено технической документацией на товар. В случае определения поставщика новых машин и оборудования заказчик устанавливает требования к предоставлению гарантии производителя и (или) поставщика данного товара и к сроку действия такой гарантии. Предоставление такой гарантии осуществляется вместе с данным товаром.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ч.2 ст.42 Закона о контрактной системе извещение об осуществлении закупки, если иное не предусмотрено Законом о контрактной системе, должно содержать проект контракта.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доводов жалоб Заявитель указывает, что право устанавливать требование п. 2.12 Технического задания к гарантийным обязательствам, возникает у Заказчика, только в случае определения поставщика машин и оборудования.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согласно доводам жалоб производителем товара является «Весктап СоиНег» (США) и получение от Производителя отдельной гарантии не представляется возможным.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Законом о контрактной системе не предусмотрены ограничения по включению в описание объекта закупки требований к товарам, являющихся значимыми для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Необходимость предоставления документов, устанавливающих гарантийные обязательства поставщика, подтверждается в письме от 27.04.2024 уполномоченного представителя производителя компании ООО «Бекмен Культер», согласно которому: «Весктап Соикег, 1пс. как производитель, ни ООО «Бекмен Культер» как уполномоченный представитель компании-производителя не могут предоставить гарантию качества продукции спорного происхождения, ввезенной на территорию Российской Федерации лицами, не уполномоченными производителем и без ведома последнего, поскольку не могут осуществлять контроль качества такой продукции. Также в таком случае невозможно подтвердить, что в процессе хранения и транспортировки в адрес конечного пользователя в отношении таких медицинских изделий было обеспечено соблюдение всех требований, установленных технической и эксплуатационной документацией (в том числе, соблюдение требований холодовой цепи, целостности/герметичности упаковки).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9"/>
          <w:footerReference w:type="default" r:id="rId10"/>
          <w:headerReference w:type="even" r:id="rId11"/>
          <w:footerReference w:type="even" r:id="rId12"/>
          <w:headerReference w:type="first" r:id="rId13"/>
          <w:footerReference w:type="first" r:id="rId14"/>
          <w:footnotePr>
            <w:pos w:val="pageBottom"/>
            <w:numFmt w:val="decimal"/>
            <w:numRestart w:val="continuous"/>
          </w:footnotePr>
          <w:pgSz w:w="11900" w:h="16840"/>
          <w:pgMar w:top="971" w:right="534" w:bottom="889" w:left="109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Письме указано, что гарантия производителя не распространяется на продукцию спорного происхождения.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тот факт, что продукция производства Весктап СоиНег, 1пс. используется в сфере здравоохранения, проведение исследований с использованием медицинских изделий спорного происхождения в отсутствие оригиналов документов, подтверждающих гарантийные обязательства продавца и производителя поставляемого товара, не может обеспечить достоверность результатов диагностики состояния пациентов, а также создает угрозу причинения вреда жизни и здоровью неограниченного круга лиц.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использование неоригинальной или некачественной продукции при работе с оборудованием производства Весктап Соикег, 1пс. является нарушением условий эксплуатации и может повлечь за собой выход из строя такого оборудования».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на заседании Комиссии Управлении представитель Заказчика пояснил, что согласно информационному письму от ООО «Бекмен Культер» (исх. № 130- 04/19 от 01.04.2019) системы иммунохимического анализа производства Весктап Соикег, 1пс. предназначены для использования только совместно с реагентами для данной серии приборов. Реагенты, калибраторы и контроли для указанных аналитических систем производятся только компанией Весктап Соикег, 1пс.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отсутствие документов, предоставленных производителем, Заказчик не может убедиться в качестве и происхождении поставляемых товаров, соблюдении условий поставки (холодовой цепи и т.д.) товара, используемого для обеспечения охраны здоровья граждан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согласно ст. 469 Гражданского кодекса Российской Федерации (далее - ГК РФ) продавец обязан передать покупателю товар, качество которого соответствует договору купли-продажи.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2 ст. 470 ГК РФ в случае, когда договором купли-продажи предусмотрено предоставление продавцом гарантии качества товара, продавец обязан передать покупателю товар, который должен соответствовать требованиям, предусмотренным статьей 469 ГК РФ, в течение определенного времени, установленного договором (гарантийного срока).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ст. 721 ГК РФ исполнитель должен оказать услуги, качество которых соответствует требованиям предъявляемым к услугам данного вида.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требовать обеспечение гарантийных обязательств может только тогда, когда в описании объекта закупки указаны гарантийные обязательства, в том числе требования к гарантийному сроку на товар.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положениями ч. 4 ст. 33 Закона о контрактной системы предусмотрена возможность установления требований к гарантии качества продукции, что является правом Заказчика.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вышеуказанной нормы обязанность доказывания нарушения Заказчиком своих прав и законных интересов лежит на подателе жалобы, однако, в составе жалоб не представлены документы и сведения, свидетельствующие о нарушении Заказчиком норм Закона о контрактной при формировании извещения об осуществлении закупки.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Комиссия Управления приходит к выводу о том, что доводы жалоб не нашли своего подтверждения и являются необоснованными.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5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жалобы ООО «Международная Медицинская Компания» на действия ГБУЗ «ГКБ № 67 им. Л. А. Ворохобова ДЗМ» необоснованными.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2" w:val="left"/>
        </w:tabs>
        <w:bidi w:val="0"/>
        <w:spacing w:before="0" w:after="28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headerReference w:type="default" r:id="rId15"/>
          <w:footerReference w:type="default" r:id="rId16"/>
          <w:headerReference w:type="even" r:id="rId17"/>
          <w:footerReference w:type="even" r:id="rId18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71" w:right="534" w:bottom="889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194945" distL="0" distR="0" simplePos="0" relativeHeight="125829382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7.600000000000001pt;margin-top:42.pt;width:145.70000000000002pt;height:19.699999999999999pt;z-index:-125829371;mso-wrap-distance-left:0;mso-wrap-distance-top:42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97535" distB="0" distL="0" distR="1816735" simplePos="0" relativeHeight="125829384" behindDoc="0" locked="0" layoutInCell="1" allowOverlap="1">
            <wp:simplePos x="0" y="0"/>
            <wp:positionH relativeFrom="page">
              <wp:posOffset>3090545</wp:posOffset>
            </wp:positionH>
            <wp:positionV relativeFrom="paragraph">
              <wp:posOffset>597535</wp:posOffset>
            </wp:positionV>
            <wp:extent cx="341630" cy="3841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4163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695325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7.19999999999999pt;margin-top:54.75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194945" distL="0" distR="0" simplePos="0" relativeHeight="125829385" behindDoc="0" locked="0" layoutInCell="1" allowOverlap="1">
                <wp:simplePos x="0" y="0"/>
                <wp:positionH relativeFrom="page">
                  <wp:posOffset>6080760</wp:posOffset>
                </wp:positionH>
                <wp:positionV relativeFrom="paragraph">
                  <wp:posOffset>533400</wp:posOffset>
                </wp:positionV>
                <wp:extent cx="1136650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8.80000000000001pt;margin-top:42.pt;width:89.5pt;height:19.699999999999999pt;z-index:-125829368;mso-wrap-distance-left:0;mso-wrap-distance-top:42.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067961ЕЕ87Е758АЕ5АСО096СЕ0АЕ91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25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16.03.2023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0"/>
        <w:jc w:val="right"/>
      </w:pPr>
      <w:r>
        <w:drawing>
          <wp:anchor distT="0" distB="0" distL="114300" distR="1931035" simplePos="0" relativeHeight="125829387" behindDoc="0" locked="0" layoutInCell="1" allowOverlap="1">
            <wp:simplePos x="0" y="0"/>
            <wp:positionH relativeFrom="page">
              <wp:posOffset>3136265</wp:posOffset>
            </wp:positionH>
            <wp:positionV relativeFrom="paragraph">
              <wp:posOffset>88900</wp:posOffset>
            </wp:positionV>
            <wp:extent cx="292735" cy="347345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92735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153035</wp:posOffset>
                </wp:positionV>
                <wp:extent cx="1725295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7.19999999999999pt;margin-top:12.05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СВЕДЕНИЯ </w:t>
      </w: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6169025</wp:posOffset>
                </wp:positionH>
                <wp:positionV relativeFrom="paragraph">
                  <wp:posOffset>457200</wp:posOffset>
                </wp:positionV>
                <wp:extent cx="1048385" cy="252730"/>
                <wp:wrapSquare wrapText="bothSides"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О.А. Челнова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485.75pt;margin-top:36.pt;width:82.549999999999997pt;height:19.900000000000002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О.А. Челнова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E3E3E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20.06.2024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9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color w:val="E8E8E8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820" w:right="0" w:firstLine="0"/>
        <w:jc w:val="left"/>
      </w:pPr>
      <w:r>
        <w:rPr>
          <w:rFonts w:ascii="Arial" w:eastAsia="Arial" w:hAnsi="Arial" w:cs="Arial"/>
          <w:color w:val="60606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Челнова Олеся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Антоновна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218С2Е7ОЗЕ7Е88445А841АСЕ73Е4О187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10.04.2024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04.07.2025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Исп.Челнова О.А.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10128885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2024-21607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50000000000001pt;margin-top:797.55000000000007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2024-21607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10192385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2024-21607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6.75pt;margin-top:802.55000000000007pt;width:57.100000000000001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2024-21607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10128885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2024-21607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50000000000001pt;margin-top:797.55000000000007pt;width:57.100000000000001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2024-21607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10128885</wp:posOffset>
              </wp:positionV>
              <wp:extent cx="725170" cy="10033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2024-21607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56.850000000000001pt;margin-top:797.55000000000007pt;width:57.100000000000001pt;height:7.90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2024-21607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3933190</wp:posOffset>
              </wp:positionH>
              <wp:positionV relativeFrom="page">
                <wp:posOffset>354330</wp:posOffset>
              </wp:positionV>
              <wp:extent cx="57785" cy="10350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9.69999999999999pt;margin-top:27.900000000000002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512445</wp:posOffset>
              </wp:positionV>
              <wp:extent cx="6413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85000000000002pt;margin-top:40.350000000000001pt;width:5.0499999999999998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512445</wp:posOffset>
              </wp:positionV>
              <wp:extent cx="64135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08.85000000000002pt;margin-top:40.350000000000001pt;width:5.0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512445</wp:posOffset>
              </wp:positionV>
              <wp:extent cx="64135" cy="103505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08.85000000000002pt;margin-top:40.350000000000001pt;width:5.0499999999999998pt;height:8.1500000000000004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Основной текст (4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Основной текст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35">
    <w:name w:val="Основной текст (6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Основной текст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100" w:line="218" w:lineRule="auto"/>
      <w:ind w:left="44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34">
    <w:name w:val="Основной текст (6)"/>
    <w:basedOn w:val="Normal"/>
    <w:link w:val="CharStyle3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