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line="288" w:lineRule="auto"/>
        <w:ind w:left="0" w:right="0" w:firstLine="0"/>
        <w:jc w:val="center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ФЕДЕРАЛЬНАЯ</w:t>
        <w:br/>
        <w:t>АНТИМОНОПОЛЬНАЯ СЛУЖБА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0"/>
        <w:jc w:val="center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УПРАВЛЕНИЕ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/>
        <w:ind w:left="0" w:right="0" w:firstLine="0"/>
        <w:jc w:val="center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Федеральной антимонопольной службы</w:t>
        <w:br/>
        <w:t>по Калининградской области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64" w:lineRule="auto"/>
        <w:ind w:left="0" w:right="0" w:firstLine="0"/>
        <w:jc w:val="center"/>
        <w:rPr>
          <w:sz w:val="16"/>
          <w:szCs w:val="16"/>
        </w:rPr>
      </w:pPr>
      <w:r>
        <w:rPr>
          <w:b w:val="0"/>
          <w:bCs w:val="0"/>
          <w:spacing w:val="0"/>
          <w:w w:val="100"/>
          <w:position w:val="0"/>
          <w:sz w:val="16"/>
          <w:szCs w:val="16"/>
          <w:shd w:val="clear" w:color="auto" w:fill="auto"/>
          <w:lang w:val="ru-RU" w:eastAsia="ru-RU" w:bidi="ru-RU"/>
        </w:rPr>
        <w:t>ул. Барнаульская 4, г. Калининград, 236006</w:t>
        <w:br/>
        <w:t>бокс № 5033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64" w:lineRule="auto"/>
        <w:ind w:left="0" w:right="0" w:firstLine="0"/>
        <w:jc w:val="center"/>
        <w:rPr>
          <w:sz w:val="16"/>
          <w:szCs w:val="16"/>
        </w:rPr>
      </w:pPr>
      <w:r>
        <w:rPr>
          <w:b w:val="0"/>
          <w:bCs w:val="0"/>
          <w:spacing w:val="0"/>
          <w:w w:val="100"/>
          <w:position w:val="0"/>
          <w:sz w:val="16"/>
          <w:szCs w:val="16"/>
          <w:shd w:val="clear" w:color="auto" w:fill="auto"/>
          <w:lang w:val="ru-RU" w:eastAsia="ru-RU" w:bidi="ru-RU"/>
        </w:rPr>
        <w:t>тел. (4012) 53-72-01, факс (4012) 53-72-00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0"/>
        <w:jc w:val="center"/>
      </w:pPr>
      <w:r>
        <w:rPr>
          <w:smallCaps w:val="0"/>
          <w:spacing w:val="0"/>
          <w:w w:val="100"/>
          <w:position w:val="0"/>
          <w:sz w:val="16"/>
          <w:szCs w:val="16"/>
          <w:shd w:val="clear" w:color="auto" w:fill="auto"/>
          <w:lang w:val="ru-RU" w:eastAsia="ru-RU" w:bidi="ru-RU"/>
        </w:rPr>
        <w:t xml:space="preserve">е-таП: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1о39@&amp;8.§оу.ги</w:t>
      </w:r>
    </w:p>
    <w:p>
      <w:pPr>
        <w:pStyle w:val="Style11"/>
        <w:keepNext/>
        <w:keepLines/>
        <w:widowControl w:val="0"/>
        <w:shd w:val="clear" w:color="auto" w:fill="auto"/>
        <w:tabs>
          <w:tab w:pos="1838" w:val="left"/>
        </w:tabs>
        <w:bidi w:val="0"/>
        <w:spacing w:before="0" w:line="240" w:lineRule="auto"/>
        <w:ind w:left="0" w:right="0" w:firstLine="0"/>
        <w:jc w:val="both"/>
      </w:pPr>
      <w:bookmarkStart w:id="0" w:name="bookmark0"/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0</w:t>
      </w:r>
      <w:r>
        <w:fldChar w:fldCharType="begin"/>
      </w:r>
      <w:r>
        <w:rPr/>
        <w:instrText> HYPERLINK "file://f207ca94-a13c-4ba0-b72d-f018c9eed8f1/" </w:instrText>
      </w:r>
      <w:r>
        <w:fldChar w:fldCharType="separate"/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9.04,2024</w:t>
      </w:r>
      <w:r>
        <w:rPr>
          <w:color w:val="000000"/>
          <w:spacing w:val="0"/>
          <w:w w:val="100"/>
          <w:position w:val="0"/>
          <w:u w:val="none"/>
          <w:shd w:val="clear" w:color="auto" w:fill="auto"/>
          <w:lang w:val="ru-RU" w:eastAsia="ru-RU" w:bidi="ru-RU"/>
        </w:rPr>
        <w:tab/>
      </w:r>
      <w:r>
        <w:fldChar w:fldCharType="end"/>
      </w:r>
      <w:r>
        <w:rPr>
          <w:color w:val="000000"/>
          <w:spacing w:val="0"/>
          <w:w w:val="100"/>
          <w:position w:val="0"/>
          <w:u w:val="none"/>
          <w:shd w:val="clear" w:color="auto" w:fill="auto"/>
          <w:lang w:val="ru-RU" w:eastAsia="ru-RU" w:bidi="ru-RU"/>
        </w:rPr>
        <w:t xml:space="preserve">№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НИ/1679/2</w:t>
      </w:r>
      <w:r>
        <w:rPr>
          <w:color w:val="000000"/>
          <w:spacing w:val="0"/>
          <w:w w:val="100"/>
          <w:position w:val="0"/>
          <w:u w:val="none"/>
          <w:shd w:val="clear" w:color="auto" w:fill="auto"/>
          <w:lang w:val="ru-RU" w:eastAsia="ru-RU" w:bidi="ru-RU"/>
        </w:rPr>
        <w:t>4</w:t>
      </w:r>
      <w:bookmarkEnd w:id="0"/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620" w:line="266" w:lineRule="auto"/>
        <w:ind w:left="0" w:right="0" w:firstLine="0"/>
        <w:jc w:val="left"/>
        <w:rPr>
          <w:sz w:val="18"/>
          <w:szCs w:val="18"/>
        </w:rPr>
      </w:pPr>
      <w:r>
        <w:rPr>
          <w:b w:val="0"/>
          <w:bCs w:val="0"/>
          <w:spacing w:val="0"/>
          <w:w w:val="100"/>
          <w:position w:val="0"/>
          <w:sz w:val="18"/>
          <w:szCs w:val="18"/>
          <w:shd w:val="clear" w:color="auto" w:fill="auto"/>
          <w:lang w:val="ru-RU" w:eastAsia="ru-RU" w:bidi="ru-RU"/>
        </w:rPr>
        <w:t xml:space="preserve">На №  от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решение по результатам рассмотрения жалобы</w:t>
      </w:r>
    </w:p>
    <w:p>
      <w:pPr>
        <w:pStyle w:val="Style17"/>
        <w:keepNext/>
        <w:keepLines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2" w:name="bookmark2"/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Заявитель:</w:t>
      </w:r>
      <w:bookmarkEnd w:id="2"/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ООО «ИНТЕГРА»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left"/>
      </w:pPr>
      <w:r>
        <w:fldChar w:fldCharType="begin"/>
      </w:r>
      <w:r>
        <w:rPr/>
        <w:instrText> HYPERLINK "mailto:info@integra.ink" </w:instrText>
      </w:r>
      <w:r>
        <w:fldChar w:fldCharType="separate"/>
      </w:r>
      <w:r>
        <w:rPr>
          <w:color w:val="000080"/>
          <w:spacing w:val="0"/>
          <w:w w:val="100"/>
          <w:position w:val="0"/>
          <w:sz w:val="24"/>
          <w:szCs w:val="24"/>
          <w:u w:val="single"/>
          <w:shd w:val="clear" w:color="auto" w:fill="auto"/>
          <w:lang w:val="ru-RU" w:eastAsia="ru-RU" w:bidi="ru-RU"/>
        </w:rPr>
        <w:t>тГо@т1едга.тк</w:t>
      </w:r>
      <w:r>
        <w:fldChar w:fldCharType="end"/>
      </w:r>
    </w:p>
    <w:p>
      <w:pPr>
        <w:pStyle w:val="Style17"/>
        <w:keepNext/>
        <w:keepLines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4" w:name="bookmark4"/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Заказчик:</w:t>
      </w:r>
      <w:bookmarkEnd w:id="4"/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Государственное бюджетное учреждение здравоохранения Калининградской области «Центральная городская клиническая больница»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left"/>
      </w:pPr>
      <w:r>
        <w:fldChar w:fldCharType="begin"/>
      </w:r>
      <w:r>
        <w:rPr/>
        <w:instrText> HYPERLINK "mailto:cgkb@infomed39.ru" </w:instrText>
      </w:r>
      <w:r>
        <w:fldChar w:fldCharType="separate"/>
      </w:r>
      <w:r>
        <w:rPr>
          <w:color w:val="000080"/>
          <w:spacing w:val="0"/>
          <w:w w:val="100"/>
          <w:position w:val="0"/>
          <w:sz w:val="24"/>
          <w:szCs w:val="24"/>
          <w:u w:val="single"/>
          <w:shd w:val="clear" w:color="auto" w:fill="auto"/>
          <w:lang w:val="ru-RU" w:eastAsia="ru-RU" w:bidi="ru-RU"/>
        </w:rPr>
        <w:t>сдкЬ@тГотед39.ш</w:t>
      </w:r>
      <w:r>
        <w:fldChar w:fldCharType="end"/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;2акирк. сдкЬ@тГотед39.г и</w:t>
      </w:r>
    </w:p>
    <w:p>
      <w:pPr>
        <w:pStyle w:val="Style17"/>
        <w:keepNext/>
        <w:keepLines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6" w:name="bookmark6"/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Оператор электронной площадки:</w:t>
      </w:r>
      <w:bookmarkEnd w:id="6"/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ООО «РТС-тендер»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 xml:space="preserve">ко@118-1епдег.ш; </w:t>
      </w:r>
      <w:r>
        <w:fldChar w:fldCharType="begin"/>
      </w:r>
      <w:r>
        <w:rPr/>
        <w:instrText> HYPERLINK "mailto:info@rts-tender.ru" </w:instrText>
      </w:r>
      <w:r>
        <w:fldChar w:fldCharType="separate"/>
      </w:r>
      <w:r>
        <w:rPr>
          <w:color w:val="000080"/>
          <w:spacing w:val="0"/>
          <w:w w:val="100"/>
          <w:position w:val="0"/>
          <w:sz w:val="24"/>
          <w:szCs w:val="24"/>
          <w:u w:val="single"/>
          <w:shd w:val="clear" w:color="auto" w:fill="auto"/>
          <w:lang w:val="ru-RU" w:eastAsia="ru-RU" w:bidi="ru-RU"/>
        </w:rPr>
        <w:t>1пГо@П:8-1:епдег.ги</w:t>
      </w:r>
      <w:r>
        <w:fldChar w:fldCharType="end"/>
      </w:r>
    </w:p>
    <w:p>
      <w:pPr>
        <w:pStyle w:val="Style17"/>
        <w:keepNext/>
        <w:keepLines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8" w:name="bookmark8"/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Уполномоченное учреждение:</w:t>
      </w:r>
      <w:bookmarkEnd w:id="8"/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Государственное казенное учреждение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sectPr>
          <w:footerReference w:type="default" r:id="rId5"/>
          <w:footerReference w:type="first" r:id="rId6"/>
          <w:footnotePr>
            <w:pos w:val="pageBottom"/>
            <w:numFmt w:val="decimal"/>
            <w:numRestart w:val="continuous"/>
          </w:footnotePr>
          <w:pgSz w:w="11900" w:h="16840"/>
          <w:pgMar w:top="1162" w:right="623" w:bottom="1207" w:left="1140" w:header="0" w:footer="3" w:gutter="0"/>
          <w:pgNumType w:start="1"/>
          <w:cols w:num="2" w:space="720" w:equalWidth="0">
            <w:col w:w="4224" w:space="1037"/>
            <w:col w:w="4877"/>
          </w:cols>
          <w:noEndnote/>
          <w:titlePg/>
          <w:rtlGutter w:val="0"/>
          <w:docGrid w:linePitch="360"/>
        </w:sectPr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 xml:space="preserve">Калининградской области «Центр обеспечения организации и проведения торгов» </w:t>
      </w:r>
      <w:r>
        <w:fldChar w:fldCharType="begin"/>
      </w:r>
      <w:r>
        <w:rPr/>
        <w:instrText> HYPERLINK "mailto:gkuct@gov39.ru" </w:instrText>
      </w:r>
      <w:r>
        <w:fldChar w:fldCharType="separate"/>
      </w:r>
      <w:r>
        <w:rPr>
          <w:color w:val="00008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дкис1@доу39ти</w:t>
      </w:r>
      <w:r>
        <w:fldChar w:fldCharType="end"/>
      </w:r>
    </w:p>
    <w:p>
      <w:pPr>
        <w:widowControl w:val="0"/>
        <w:spacing w:before="89" w:after="89" w:line="240" w:lineRule="exact"/>
        <w:rPr>
          <w:sz w:val="19"/>
          <w:szCs w:val="19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066" w:right="0" w:bottom="1154" w:left="0" w:header="0" w:footer="3" w:gutter="0"/>
          <w:cols w:space="720"/>
          <w:noEndnote/>
          <w:rtlGutter w:val="0"/>
          <w:docGrid w:linePitch="360"/>
        </w:sectPr>
      </w:pPr>
    </w:p>
    <w:p>
      <w:pPr>
        <w:pStyle w:val="Style17"/>
        <w:keepNext/>
        <w:keepLines/>
        <w:widowControl w:val="0"/>
        <w:shd w:val="clear" w:color="auto" w:fill="auto"/>
        <w:bidi w:val="0"/>
        <w:spacing w:before="0" w:line="240" w:lineRule="auto"/>
        <w:ind w:left="0" w:right="0" w:firstLine="0"/>
        <w:jc w:val="center"/>
      </w:pPr>
      <w:bookmarkStart w:id="10" w:name="bookmark10"/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РЕШЕНИЕ № 039/06/33-230/2024</w:t>
      </w:r>
      <w:bookmarkEnd w:id="10"/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mc:AlternateContent>
          <mc:Choice Requires="wps">
            <w:drawing>
              <wp:anchor distT="0" distB="0" distL="114300" distR="114300" simplePos="0" relativeHeight="125829378" behindDoc="0" locked="0" layoutInCell="1" allowOverlap="1">
                <wp:simplePos x="0" y="0"/>
                <wp:positionH relativeFrom="page">
                  <wp:posOffset>6295390</wp:posOffset>
                </wp:positionH>
                <wp:positionV relativeFrom="paragraph">
                  <wp:posOffset>12700</wp:posOffset>
                </wp:positionV>
                <wp:extent cx="999490" cy="216535"/>
                <wp:wrapSquare wrapText="left"/>
                <wp:docPr id="5" name="Shape 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999490" cy="21653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24"/>
                                <w:szCs w:val="24"/>
                                <w:shd w:val="clear" w:color="auto" w:fill="auto"/>
                                <w:lang w:val="ru-RU" w:eastAsia="ru-RU" w:bidi="ru-RU"/>
                              </w:rPr>
                              <w:t>г. Калининград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1" type="#_x0000_t202" style="position:absolute;margin-left:495.69999999999999pt;margin-top:1.pt;width:78.700000000000003pt;height:17.050000000000001pt;z-index:-125829375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1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24"/>
                          <w:szCs w:val="24"/>
                          <w:shd w:val="clear" w:color="auto" w:fill="auto"/>
                          <w:lang w:val="ru-RU" w:eastAsia="ru-RU" w:bidi="ru-RU"/>
                        </w:rPr>
                        <w:t>г. Калининград</w:t>
                      </w:r>
                    </w:p>
                  </w:txbxContent>
                </v:textbox>
                <w10:wrap type="square" side="left" anchorx="page"/>
              </v:shape>
            </w:pict>
          </mc:Fallback>
        </mc:AlternateConten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Резолютивная часть объявлена 04.04.2024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24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Изготовлено в полном объеме 09.04.2024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0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Комиссия Управления Федеральной антимонопольной службы по Калининградской области по контролю в сфере закупок (далее - Комиссия) в составе: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0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председатель Комиссии: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0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Н.С. Иванова - заместитель руководителя — начальник отдела контроля органов власти, закупок и рекламы Калининградского УФАС России;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0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члены Комиссии: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0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Ю.А. Зацепина — заместитель начальника отдела контроля органов власти, закупок и рекламы Калининградского УФАС России;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0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О.И. Филатов - ведущий специалист - эксперт отдела контроля органов власти, закупок и рекламы Калининградского УФАС России,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60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при участии представителей: заявителя - ООО «ИНТЕГРА»: Ф.А. Гущина (по доверенности); А.В. Бирюкова (управляющий индивидуальный предприниматель на основании приказа № 01/11 от 16.12.2020), заказчика - государственного бюджетного учреждения здравоохранения Калининградской области «Центральная городская клиническая больница»: А.А. Андрианова (по доверенности); Д.В. Куделки (по доверенности); А.И. Бабиновича (по доверенности); А.В. Крук (по доверенности); Д.И. Читаков (по доверенности), заказчика - государственного бюджетного учреждения здравоохранения «Областная клиническая больница Калининградской области»: А.М. Корнеевой (по доверенности), уполномоченного учреждения - государственного казенного учреждения Калининградской области «Центр обеспечения организации и проведения торгов»: И.В. Лебедева (по доверенности); А.В. Лигостаева (по доверенности),</w:t>
      </w:r>
    </w:p>
    <w:p>
      <w:pPr>
        <w:pStyle w:val="Style21"/>
        <w:keepNext/>
        <w:keepLines/>
        <w:widowControl w:val="0"/>
        <w:shd w:val="clear" w:color="auto" w:fill="auto"/>
        <w:bidi w:val="0"/>
        <w:spacing w:before="0" w:line="240" w:lineRule="auto"/>
        <w:ind w:left="0" w:right="0"/>
        <w:jc w:val="both"/>
      </w:pPr>
      <w:bookmarkStart w:id="12" w:name="bookmark12"/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111111111111111111111111</w:t>
      </w:r>
      <w:bookmarkEnd w:id="12"/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240" w:line="240" w:lineRule="auto"/>
        <w:ind w:left="0" w:right="0" w:firstLine="64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рассмотрев в режиме видеоконференцсвязи посредством плагина «ТгиеСопТ» жалобу ООО «ИНТЕГРА» (вх. № 2379/24 от 28.03.2024) на действия заказчиков согласно извещению № 0335200014924000750 (далее — Заказчики) при проведении электронного аукциона, предметом которого является поставка средств доверенной загрузки для медицинских организаций государственной информационной системы в сфере здравоохранения (далее - Аукцион), и в результате внеплановой проверки, проведенной в соответствии с частью 15 статьи 99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(далее - Закон о контрактной системе),</w:t>
      </w:r>
    </w:p>
    <w:p>
      <w:pPr>
        <w:pStyle w:val="Style17"/>
        <w:keepNext/>
        <w:keepLines/>
        <w:widowControl w:val="0"/>
        <w:shd w:val="clear" w:color="auto" w:fill="auto"/>
        <w:bidi w:val="0"/>
        <w:spacing w:before="0" w:line="240" w:lineRule="auto"/>
        <w:ind w:left="0" w:right="0" w:firstLine="0"/>
        <w:jc w:val="center"/>
      </w:pPr>
      <w:bookmarkStart w:id="14" w:name="bookmark14"/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УСТАНОВИЛА:</w:t>
      </w:r>
      <w:bookmarkEnd w:id="14"/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240" w:line="240" w:lineRule="auto"/>
        <w:ind w:left="0" w:right="0" w:firstLine="64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В Управление Федеральной антимонопольной службы по Калининградской области 28.03.2024 поступила жалоба Заявителя на действия Заказчиков при формировании извещения об осуществлении закупки.</w:t>
      </w:r>
    </w:p>
    <w:p>
      <w:pPr>
        <w:pStyle w:val="Style17"/>
        <w:keepNext/>
        <w:keepLines/>
        <w:widowControl w:val="0"/>
        <w:shd w:val="clear" w:color="auto" w:fill="auto"/>
        <w:bidi w:val="0"/>
        <w:spacing w:before="0" w:line="240" w:lineRule="auto"/>
        <w:ind w:left="0" w:right="0" w:firstLine="0"/>
        <w:jc w:val="center"/>
      </w:pPr>
      <w:bookmarkStart w:id="16" w:name="bookmark16"/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В обоснование своей жалобы Заявитель привел следующие доводы</w:t>
      </w:r>
      <w:bookmarkEnd w:id="16"/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4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1. Заявитель полагает, что Заказчик при формировании извещения об осуществлении закупки неправомерно не применил позицию каталога товаров, работ, услуг для обеспечения государственных и муниципальных нужд (далее — КТРУ).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240" w:line="240" w:lineRule="auto"/>
        <w:ind w:left="0" w:right="0" w:firstLine="64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2. По мнению Заявителя, совокупности требований, установленных в Техническом задании, соответствует только средство доверенной загрузки &lt;Оа11а§ Ьоск» производителя ООО «Конфидент».</w:t>
      </w:r>
    </w:p>
    <w:p>
      <w:pPr>
        <w:pStyle w:val="Style17"/>
        <w:keepNext/>
        <w:keepLines/>
        <w:widowControl w:val="0"/>
        <w:shd w:val="clear" w:color="auto" w:fill="auto"/>
        <w:bidi w:val="0"/>
        <w:spacing w:before="0" w:line="240" w:lineRule="auto"/>
        <w:ind w:left="0" w:right="0" w:firstLine="0"/>
        <w:jc w:val="center"/>
      </w:pPr>
      <w:bookmarkStart w:id="18" w:name="bookmark18"/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Заказчиком даны следующие пояснения по сути жалобы Заявителя</w:t>
      </w:r>
      <w:bookmarkEnd w:id="18"/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240" w:line="240" w:lineRule="auto"/>
        <w:ind w:left="0" w:right="0" w:firstLine="64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Заказчик полагает, что жалоба Заявителя является необоснованной, описанию объекта закупки соответствуют товары не менее двух производителей, а именно: «^а11а8^оск», «АПМДЗ ПАК Соболь», и согласно ответу производителя от 2020 года - «АМДЗ «Аккорд».</w:t>
      </w:r>
    </w:p>
    <w:p>
      <w:pPr>
        <w:pStyle w:val="Style17"/>
        <w:keepNext/>
        <w:keepLines/>
        <w:widowControl w:val="0"/>
        <w:shd w:val="clear" w:color="auto" w:fill="auto"/>
        <w:bidi w:val="0"/>
        <w:spacing w:before="0" w:line="240" w:lineRule="auto"/>
        <w:ind w:left="0" w:right="0" w:firstLine="640"/>
        <w:jc w:val="both"/>
      </w:pPr>
      <w:bookmarkStart w:id="20" w:name="bookmark20"/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Уполномоченным учреждением даны следующие пояснения по сути жалобы Заявителя</w:t>
      </w:r>
      <w:bookmarkEnd w:id="20"/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240" w:line="240" w:lineRule="auto"/>
        <w:ind w:left="0" w:right="0" w:firstLine="64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Уполномоченное учреждение полагает, что действия Заказчика при формировании извещения об осуществлении закупки не нарушают требований Закона о контрактной системе, кроме того, на участие в закупке было подано три заявки, снижение составило 1%.</w:t>
      </w:r>
    </w:p>
    <w:p>
      <w:pPr>
        <w:pStyle w:val="Style17"/>
        <w:keepNext/>
        <w:keepLines/>
        <w:widowControl w:val="0"/>
        <w:shd w:val="clear" w:color="auto" w:fill="auto"/>
        <w:bidi w:val="0"/>
        <w:spacing w:before="0" w:line="240" w:lineRule="auto"/>
        <w:ind w:left="0" w:right="0" w:firstLine="640"/>
        <w:jc w:val="both"/>
      </w:pPr>
      <w:bookmarkStart w:id="22" w:name="bookmark22"/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В результате рассмотрения жалобы и проведения в соответствии с частью 15 статьи 99 Закона о контрактной системе внеплановой проверки, Комиссия установила следующее</w:t>
      </w:r>
      <w:bookmarkEnd w:id="22"/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4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19.03.2024 уполномоченным учреждением на официальном сайте единой информационной системы в сфере закупок (далее - официальный сайт, ЕИС) размещено извещение об осуществлении закупки № 0335200014924000750 с приложениями. Начальная (максимальная) цена контракта (далее — НМЦК) - 34 986 600,00 рублей.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4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 xml:space="preserve">Объектом закупки является товар с кодом позиции Общероссийского классификатора продукции по видам экономической деятельности (далее - ОКПД 2): </w:t>
      </w:r>
      <w:r>
        <w:rPr>
          <w:i/>
          <w:i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«26.20.40.142 Системы и средства обеспечения безопасности информации (программные, программно-аппаратные и аппаратные), такие как СЗИ НСД, защиты от утечек, антивирусной защиты и другие».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4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Как полагает Заявитель при формировании извещения об осуществлении закупки Заказчик должен был применить позицию КТРУ, поскольку объектом закупки является товар, характеристики которого предусмотрены следующими позициями: 26.20.40.140-00000005 «Аппаратно-программный модуль доверенной нагрузки», 26.20.40.140-00000006 «Аппаратно-программный модуль доверенной нагрузки».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 xml:space="preserve">Комиссия, проанализировав извещение об осуществлении закупки в части данного довода 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жалобы, приходит к следующим выводам.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0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Пунктом 14 части 3 статьи 4 Закона о контрактной системе предусмотрено формирование и ведение в единой информационной системе в сфере закупок каталога товаров, работ, услуг для обеспечения государственных и муниципальных нужд (далее — Каталог).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0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В соответствии с частью 6 статьи 23 Закона о контрактной системе порядок формирования и ведения в единой информационной системе каталога товаров, работ, услуг для обеспечения государственных и муниципальных нужд, а также правила использования указанного каталога устанавливаются Правительством Российской Федерации.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0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Постановлением Правительства Российской Федерации от 08.02.2017 № 145 утверждены Правила формирования и ведения в единой информационной системе в сфере закупок каталога товаров, работ, услуг для обеспечения государственных и муниципальных нужд (далее - Правила формирования Каталога) и Правила использования каталога товаров, работ, услуг для обеспечения государственных и муниципальных нужд (далее - Правила использования Каталога).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0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Согласно пункту 4 Правил формирования и ведения в единой информационной системе в сфере закупок каталога товаров, работ, услуг для обеспечения государственных и муниципальных нужд, утвержденных Постановлением Правительства РФ от 08.02.2017 № 145 формирование и ведение каталога обеспечивает федеральный орган исполнительной власти по регулированию контрактной системы в сфере закупок, в том числе в результате взаимодействия с федеральными органами исполнительной власти, осуществляющими формирование и (или) ведение информационных систем, а также осуществляющими государственную регистрацию товаров в установленной сфере деятельности.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0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Таким органом согласно Постановлению Правительства РФ от 26.08.2013 № 728 «Об определении полномочий федеральных органов исполнительной власти в сфере закупок товаров, работ, услуг для обеспечения государственных и муниципальных нужд и о внесении изменений в некоторые акты Правительства Российской Федерации» определено Министерство финансов Российской Федерации.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0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В соответствии с пунктом 4 Правил использования каталога товаров, работ, услуг для обеспечения государственных и муниципальных нужд, утвержденных Постановлением Правительства РФ от 08.02.2017 № 145 заказчики обязаны применять информацию, включенную в позицию каталога в соответствии с подпунктами «б» - «г» и «е» - «з» пункта 10 Правил формирования и ведения в единой информационной системе в сфере закупок каталога товаров, работ, услуг для обеспечения государственных и муниципальных нужд, утвержденных постановлением Правительства Российской Федерации от 8 февраля 2017 г. № 145 «Об утверждении Правил формирования и ведения в единой информационной системе в сфере закупок каталога товаров, работ, услуг для обеспечения государственных и муниципальных нужд и Правил использования каталога товаров, работ, услуг для обеспечения государственных и муниципальных нужд», с указанной в ней даты начала обязательного применения. При этом заказчик обязан при осуществлении закупки использовать информацию, включенную в соответствующую позицию, в том числе указывать согласно такой позиции следующую информацию:</w:t>
      </w:r>
    </w:p>
    <w:p>
      <w:pPr>
        <w:pStyle w:val="Style15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908" w:val="left"/>
        </w:tabs>
        <w:bidi w:val="0"/>
        <w:spacing w:before="0" w:after="0" w:line="240" w:lineRule="auto"/>
        <w:ind w:left="0" w:right="0" w:firstLine="60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наименование товара, работы, услуги;</w:t>
      </w:r>
    </w:p>
    <w:p>
      <w:pPr>
        <w:pStyle w:val="Style15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894" w:val="left"/>
        </w:tabs>
        <w:bidi w:val="0"/>
        <w:spacing w:before="0" w:after="0" w:line="240" w:lineRule="auto"/>
        <w:ind w:left="0" w:right="0" w:firstLine="60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единицы измерения количества товара, объема выполняемой работы, оказываемой услуги (при наличии);</w:t>
      </w:r>
    </w:p>
    <w:p>
      <w:pPr>
        <w:pStyle w:val="Style15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913" w:val="left"/>
        </w:tabs>
        <w:bidi w:val="0"/>
        <w:spacing w:before="0" w:after="0" w:line="240" w:lineRule="auto"/>
        <w:ind w:left="0" w:right="0" w:firstLine="60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описание товара, работы, услуги (при наличии такого описания в позиции).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0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На заседании Комиссии представители Заказчика пояснили, что в перечне характеристик позиций КТРУ: 26.20.40.140-00000005 и 26.20.40.140-00000006 отсутствуют характеристики, описывающие наличие сертификата соответствия ФСТЭК России в соответствии с заданным уровнем доверия и установленным классом защиты, а также иные характеристики, необходимые для корректной работы автоматизированных рабочих мест в Государственной информационной системе в сфере здравоохранения Калининградской области (далее — ГИСЗ). Указанные характеристики являются критическими с точки зрения исполнения законодательства Российской Федерации в области защиты информации.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0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 xml:space="preserve">Согласно представленным материалам Комиссией установлено, что ГИСЗ, имеющаяся у Заказчика в соответствии с Аттестатом соответствия № 2384.00008.2021 от 21.12.2021, выданным 000 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 xml:space="preserve">«БАЛТ-информ» (далее - Аттестат соответствия №2384.00008.2021 от 21.12.2021) соответствует следующим требованиям в области защиты информации: </w:t>
      </w:r>
      <w:r>
        <w:rPr>
          <w:i/>
          <w:i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«класс защищенности К1, 2 уровень защищенности персональных данных, 3 категория значимости, оператор ИС - МИАЦ, соответствует Требованиям о защите информации, не составляющей государственную тайну, содержащейся в государственных информационных системах, утверждены приказом ФСТЭК России от 11.02.2013 № 17, Составу и содержанию организационных и технических мер по обеспечению безопасности персональных данных при их обработке в информационных системах персональных данных, утверждены приказом ФСТЭК России от 18.02.2013 № 21, Требованиям по обеспечению безопасности значимых объектов критической информационной инфраструктуры Российской Федерации, утверждены Приказом ФСТЭКРоссии от 25.12.2017 № 239»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.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0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В ходе анализа позиций КТРУ: 26.20.40.140-00000005 и 26.20.40.140-00000006 Комиссией выявлено отсутствие в них конкретных требований к защите информации, а именно к классу защищенности, уровню защищенности персональных данных, категории значимости.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0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Комиссия отмечает, что в случае отсутствия данных характеристик, указанных в объекте закупки, вероятна поставка средств защиты информации, не соответствующих требованиям, указанным в Аттестате соответствия № 2384.00008.2021 от 21.12.2021, предъявляемым в области защиты информации.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0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В силу статьи 31 Закона о контрактной системе заказчики не вправе устанавливать избыточные требования к участникам закупок в нарушение требований настоящего Федерального закона.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0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Кроме того, заказчик самостоятельно определяет позиции КТРУ, подлежащие применению. Данная позиция также отражена в Письме Министерства Финансов Российской Федерации от 17.03.2020 № 24-05-08/20208, с связи с чем Заказчиком был выбран код позиции ОКПД 2.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0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При изложенных обстоятельствах, в связи с потребностью Заказчика в определенных требованиях к защите информации, также отсутствие со стороны Заявителя достаточных доказательств, позволяющих сделать вывод, что все товары, которые поставляются при применении вышеуказанных кодов КТРУ будут соответствовать минимальным требованиям, которые подходят в данном случае Заказчику, Комиссия приходит к выводу, что действия Заказчика в части не применения позиции КТРУ не нарушают требований Закона о контрактной системе. Довод жалобы Заявителя является необоснованным.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0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В части довода о соответствии требованиям Технического задания товара одного производителя, Комиссией установлено следующее.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0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Согласно пунктам 1, 2 части 2 статьи 42 Закона о контрактной системе извещение об осуществлении закупки, если иное не предусмотрено настоящим Федеральным законом, должно содержать описание объекта закупки в соответствии со статьей 33 настоящего Федерального закона, обоснование начальной (максимальной) цены контракта.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0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В составе извещения об осуществлении закупки размещены, в том числе файлы: «Описание объекта закупки», в котором содержится техническое задание (далее — Техническое задание) и «Обоснование начальной (максимальной) цены контракта», в котором содержится информация о том, что определение и обоснование начальной (максимальной) цены контракта произведено в соответствии с Приказом Министерства экономического развития Российской Федерации от 02.10.2013 № 567 «Об утверждении методических рекомендаций по применению методов определения начальной (максимальной) цены контракта, цены контракта, заключаемого с единственным поставщиком (подрядчиком, исполнителем)» (далее — Приказ Минэконом развития РФ от 02.10.2013 № 567) посредством метода сопоставимых рыночных цен (анализ рынка) и перечислены источники ценовой информации.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0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В соответствии с частью 2 статьи 22 Закона о контрактной системе метод сопоставимых рыночных цен (анализа рынка) заключается в установлении начальной (максимальной) цены контракта, цены контракта, заключаемого с единственным поставщиком (подрядчиком, исполнителем), на основании информации о рыночных ценах идентичных товаров, работ, услуг, планируемых к закупкам, или при их отсутствии однородных товаров, работ, услуг.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0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 xml:space="preserve">Согласно пункту 3.19 Приказа Минэкономразвития России от 02.10.2013 № 567 «Об утверждении Методических рекомендаций по применению методов определения начальной (максимальной) цены 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контракта, цены контракта, заключаемого с единственным поставщиком (подрядчиком, исполнителем)» в целях определения НМЦК методом сопоставимых рыночных цен (анализа рынка) рекомендуется использовать не менее трех цен товара, работы, услуги, предлагаемых различными поставщиками (подрядчиками, исполнителями).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Для расчета НМЦК при формировании закупки Заказчиком использовались коммерческие предложения, представленные следующими субъектами: ООО «БАЛТ-информ Трейд» (вх. № 302 от 02.02.2024), в котором к поставке предложен товар (Средство доверенной загрузки уровня платы расширения АМДЗ «Аккорд» РС1Е, сертифицированное ФСТЭК); ООО «5.25 Защитные решения» (вх. № 303 от 02.02.2024), в котором к поставке предложен товар (Средство доверенной загрузки уровня платы расширения ^аПаз коек РС1Е, сертифицированное ФСТЭК России); ООО «Рубикон» (вх. № 304 от 02.02.2024), в котором к поставке предложен товар (Средство доверенной загрузки уровня платы расширения ^аПаз коек РС1Е, сертифицированное ФСТЭК России).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Таким образом, в коммерческих предложениях в соответствии с Техническим заданием предложены средства доверенной загрузки уровня платы расширения АМДЗ «Аккорд» РС1Е» и «ЛаПаз коек РС1Е».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 xml:space="preserve">Как полагает Заявитель установленные в Техническом задании требования, в том числе: </w:t>
      </w:r>
      <w:r>
        <w:rPr>
          <w:i/>
          <w:i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«Возможность централизованного управления средством доверенной загрузки на средстве вычислительной техники с помощью Единого центра управления ИаПал Коек, имеющегося у конечных пользователей, который обеспечивает: централизованный сбор журналов с средства доверенной загрузки; управление файлами конфигурации: получение файлов конфигурации с клиентов, хранение и удаление файлов конфигурации в базе данных, применение файлов конфигурации на клиентском средстве вычислительной техники; управление отчетами: получение и просмотр отчетов клиентов, хранение и удаление отчетов клиентов в базе данных»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 xml:space="preserve"> создают невозможность поставки иных средств защиты информации, кроме средства доверенной загрузки уровня платы расширения «ЛаПаз 1.оск» производителя ООО «Конфидент».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На заседании Комиссии представители Заказчиков пояснили, что требованиям Технического задания соответствуют средства защиты информации не менее двух производителей, что подтверждается ответами производителей:</w:t>
      </w:r>
    </w:p>
    <w:p>
      <w:pPr>
        <w:pStyle w:val="Style15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774" w:val="left"/>
        </w:tabs>
        <w:bidi w:val="0"/>
        <w:spacing w:before="0" w:after="0" w:line="240" w:lineRule="auto"/>
        <w:ind w:left="0" w:right="0" w:firstLine="6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ЗАО «ОКБ САПР» от 2020 года о соответствии модуля доверенной загрузки АМДЗ «Аккорд», ООО «Код безопасности» о соответствии АПМДЗ ПАК Соболь;</w:t>
      </w:r>
    </w:p>
    <w:p>
      <w:pPr>
        <w:pStyle w:val="Style15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783" w:val="left"/>
        </w:tabs>
        <w:bidi w:val="0"/>
        <w:spacing w:before="0" w:after="0" w:line="240" w:lineRule="auto"/>
        <w:ind w:left="0" w:right="0" w:firstLine="6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ЗАО «ОКБ САПР» в своем ответе (исх. № 20-03/343 от 16.10.2020), представленном по запросу Государственного казенного учреждения здравоохранения «Медицинский информационно</w:t>
        <w:softHyphen/>
        <w:t>аналитический центр Калининградской области» (исх. № 479 от 08.10.2020), сообщает о подтверждении характеристик ПАК СЗИ НСД «Аккорд-АМДЗ», изложенных в письме (исх. № 479 от 08.10.2020);</w:t>
      </w:r>
    </w:p>
    <w:p>
      <w:pPr>
        <w:pStyle w:val="Style15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783" w:val="left"/>
        </w:tabs>
        <w:bidi w:val="0"/>
        <w:spacing w:before="0" w:after="0" w:line="240" w:lineRule="auto"/>
        <w:ind w:left="0" w:right="0" w:firstLine="6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ООО «Код Безопасности», являющееся разработчиком и правообладателем средства защиты информации ПАК «Соболь», также в своем ответе (исх. № 24/0319 от 03.04.2024), представленном по запросу Заказчика (исх. № 982 от 03.04.2024), сообщает о том, что ПАК «Соболь» удовлетворяет всем требованиям Технического задания;</w:t>
      </w:r>
    </w:p>
    <w:p>
      <w:pPr>
        <w:pStyle w:val="Style15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878" w:val="left"/>
        </w:tabs>
        <w:bidi w:val="0"/>
        <w:spacing w:before="0" w:after="0" w:line="240" w:lineRule="auto"/>
        <w:ind w:left="0" w:right="0" w:firstLine="6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 xml:space="preserve">ООО «Конфидент», являющееся разработчиком, правообладателем и производителем сертифицированных систем защиты информации линейки «ЛаПаз коек», в своем ответе (исх. № 103- 3/24 от 03.04.2024), представленном по запросу Заказчика, сообщает, что в настоящий момент полная интеграция Единого центра управления «ЛаПаз коек» (далее — ЕЦУ) со средствами защиты информации (далее — СЗИ) и средствами доверенной загрузки (далее — СДЗ) реализована с продуктами линейки ^аПаз коек (^аПаз^оск 8.0К/С, ^аПаз коек 1лпи\, СДЗ ^аПаз коек и др.). Интеграция с СДЗ сторонних производителей поддерживается, осуществляется сбор событий безопасности, реализуются механизмы редактирования политик безопасности. ООО «Конфидент» постоянно работает над внесением в ЕЦУ нового функционала для расширения возможностей управления техническими средствами защиты информации сторонних производителей. К данному письму был приложен список сторонних производителей СДЗ, а именно: АО «ИнфоТеКС» (СДЗ \"1Р\е1 8аГеВоо1 / 2.1); ООО «Код безопасности» (СДЗ Аппаратно-программный модуль доверенной загрузки вычислительных машин «Соболь» 4); ОКБ СПРО (СДЗ Аппаратный модуль доверенной 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загрузки «Аккорд- АМДЗ» / Аккорд-СХМ.2); АО «Крафтвэй корпорэйшн ПЛС» (СДЗ электронный замок Витязь).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0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Согласно протоколу подачи ценовых предложений от 29.03.2024 №ЦПА1, протоколу подведения итогов определения поставщика (подрядчика, исполнителя) от 02.04.2024 №ИЭА1 на участие в закупке поступило три заявки с идентификационными номерами: 116217705, 116230031, 116227127, которые были признаны соответствующими. Снижением от НМЦК составило 1%.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0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Комиссией установлено, что в своих заявках участники закупки с идентификационными номерами: 116217705, 116230031, 116227127 предложили к поставке товар только с товарным знаком «ЛаПаз ^оск», Российская Федерация.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0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Комиссия, проанализировав представленные материалы, выслушав доводы представителей сторон, приходит к следующим выводам.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0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Согласно статье 6 Закона о контрактной системе контрактная система в сфере закупок основывается на принципах открытости, прозрачности информации о контрактной системе в сфере закупок, обеспечения конкуренции, профессионализма заказчиков, стимулирования инноваций, единства контрактной системы в сфере закупок, ответственности за результативность обеспечения государственных и муниципальных нужд, эффективности осуществления закупок.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0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Статьей 8 Закона о контрактной системе установлено, что контрактная система в сфере закупок направлена на создание равных условий для обеспечения конкуренции между участниками закупок. Любое заинтересованное лицо имеет возможность в соответствии с законодательством Российской Федерации и иными нормативными правовыми актами о контрактной системе в сфере закупок стать поставщиком (подрядчиком, исполнителем).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0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 xml:space="preserve">Согласно </w:t>
      </w:r>
      <w:r>
        <w:rPr>
          <w:color w:val="0000FF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 xml:space="preserve">пункту 1 части 2 статьи 42 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 xml:space="preserve">Закона о контрактной системе извещение об осуществлении закупки, если иное не предусмотрено настоящим Федеральным </w:t>
      </w:r>
      <w:r>
        <w:rPr>
          <w:color w:val="0000FF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законом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 xml:space="preserve">, должно содержать описание объекта закупки в соответствии со </w:t>
      </w:r>
      <w:r>
        <w:rPr>
          <w:color w:val="0000FF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 xml:space="preserve">статьей 33 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настоящего Федерального закона.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0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В соответствии с пунктом 1 части 1 статьи 33 Закона о контрактной системе заказчик в случаях, предусмотренных настоящим Федеральным законом, при описании объекта закупки должен руководствоваться следующими правилами:</w:t>
      </w:r>
    </w:p>
    <w:p>
      <w:pPr>
        <w:pStyle w:val="Style15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811" w:val="left"/>
        </w:tabs>
        <w:bidi w:val="0"/>
        <w:spacing w:before="0" w:after="0" w:line="240" w:lineRule="auto"/>
        <w:ind w:left="0" w:right="0" w:firstLine="60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в описании объекта закупки указываются функциональные, технические и качественные характеристики, эксплуатационные характеристики объекта закупки (при необходимости). В описание объекта закупки не должны включаться требования или указания в отношении товарных знаков, знаков обслуживания, фирменных наименований, патентов, полезных моделей, промышленных образцов, наименование страны происхождения товара, требования к товарам, информации, работам, услугам при условии, что такие требования или указания влекут за собой ограничение количества участников закупки.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00"/>
        <w:jc w:val="both"/>
      </w:pPr>
      <w:r>
        <w:rPr>
          <w:color w:val="0000FF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 xml:space="preserve">Частью 3 статьи 33 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 xml:space="preserve">Закона о контрактной системе установлено, что не допускается включение в описание объекта закупки (в том числе в форме требований к качеству, техническим характеристикам товара, работы или услуги, требований к функциональным характеристикам (потребительским свойствам) товара) требований к производителю товара, к участнику закупки (в том числе требования к квалификации участника закупки, включая наличие опыта работы), а также требования к деловой репутации участника закупки, требования к наличию у него производственных мощностей, технологического оборудования, трудовых, финансовых и других ресурсов, необходимых для производства товара, поставка которого является предметом контракта, для выполнения работы или оказания услуги, являющихся предметом контракта, за исключением случаев, если возможность установления таких требований к участнику закупки предусмотрена настоящим Федеральным </w:t>
      </w:r>
      <w:r>
        <w:rPr>
          <w:color w:val="0000FF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законом.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0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 xml:space="preserve">Исполнением требований </w:t>
      </w:r>
      <w:r>
        <w:rPr>
          <w:color w:val="0000FF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 xml:space="preserve">статьи 33 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Закона о контрактной системе должно являться наличие на рынке как минимум двух производителей, товар которых соответствует всем требованиям, обозначенным в извещение об осуществлении закупки.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0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 xml:space="preserve">При этом Комиссия отмечает, что включение в извещение об осуществлении закупки требований к закупаемому товару, которые свидетельствуют о его конкретном производителе является нарушением положений </w:t>
      </w:r>
      <w:r>
        <w:rPr>
          <w:color w:val="0000FF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 xml:space="preserve">статьи 33 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 xml:space="preserve">Закона о контрактной системе. Данная позиция находит свое отражение также в пункте 2 Обзора судебной практики применения законодательства Российской Федерации о 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контрактной системе в сфере закупок товаров, работ, услуг для обеспечения государственных и муниципальных нужд, утвержденного Президиумом Верховного Суда Российской Федерации 28.06.2017.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0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На заседании Комиссии представитель Заявителя пояснил, а также было установлено Комиссией, что в ответе ЗАО «ОКБ САПР» (исх. № 20-03/343 от 16.10.2020), представленном по запросу Государственного казенного учреждения здравоохранения «Медицинский информационно</w:t>
        <w:softHyphen/>
        <w:t>аналитический центр Калининградской области» (исх. № 479 от 08.10.2020), отсутствует упоминание о возможности централизованного управления средством доверенной загрузки ПАК СЗИ НСД «Аккорд- АМДЗ» на средстве вычислительной техники с помощью Единого центра управления «Ла11аз Коек», имеющегося у Заказчиков.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0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В рамках рассмотрения жалобы Заявителя Комиссией также были направлены запросы в ООО «Код Безопасности» (исх. № НИ/1566/24 от 04.04.2024) и ЗАО «ОКБ САПР» (исх. № НИ/1576/24 от 04.04.2024), в том числе о подтверждении соответствия требованиям Технического задания Заказчика средств доверенной загрузки: ПАК «Соболь» и ПАК СЗИ НСД «Аккорд-АМДЗ».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0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 xml:space="preserve">Согласно ответу ЗАО «ОКБ САПР» (исх. № 24-03/77 от 04.04.2024), представленному по запросу Комиссии, ПАК СЗИ НСД «Аккорд-АМДЗ» не соответствует требованиям Технического задания закупки № 0335200014924000750, в частности, следующему требованию: </w:t>
      </w:r>
      <w:r>
        <w:rPr>
          <w:i/>
          <w:i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«Возможность централизованного управления средством доверенной загрузки на средстве вычислительной техники с помощью Единого центра управления 1к111а\ Коек, имеющегося у конечных пользователей, который обеспечивает: централизованный сбор журналов с средства доверенной загрузки; управление файлами конфигурации: получение файлов конфигурации с клиентов, хранение и удаление файлов конфигурации в базе данных, применение файлов конфигурации на клиентском средстве вычислительной техники; управление отчетами: получение и просмотр отчетов клиентов, хранение и удаление отчетов клиентов в базе данных»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. Ответ о несоответствии требованиям Технического задания ЗАО «ОКБ САПР» также направило в адрес Заказчика (исх. № 24-03/76 от 04.04.2024).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0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Согласно ответу ООО «Код Безопасности» (исх. № 24/0566 от 04.04.2024), представленному по запросу Комиссии установлено, что требованиям Технического задания закупки № 0335200014924000750 ПАК «Соболь» соответствует, документы по которому сейчас готовятся для подачи на сертификацию. Однако, ООО «Код Безопасности» был не учтен пункт в Техническом задании о том, что средство доверенной загрузки на момент запроса должно быть сертифицировано на соответствие требованиям Федеральной службы по техническому и экспортному контролю России.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0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Таким образом, согласно представленным ЗАО «ОКБ САПР» и ООО «Код Безопасности» сведениям, средства доверенной загрузки: ПАК «Соболь» и ПАК СЗИ НСД «Аккорд-АМДЗ» вопреки позиции Заказчиков не соответствуют требованиям Технического задания рассматриваемой закупки.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0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 xml:space="preserve">Более того, Комиссия отмечает, что ООО «Конфидент», являющееся разработчиком, правообладателем и производителем систем защиты информации линейки «Ла11аз Коек» в своем ответе (исх. № 103-3/24 от 03.04.2024), представленном по запросу Заказчика сообщает, что в отношении СЗИ и СДЗ которые возможно интегрировать с Единым центром управления «Ла11аз Коек», а именно: СДЗ \"1Р\е1 8аГеВоо1 / 2.1, производителя АО «ИнфоТеКС»; СДЗ Аппаратно-программный модуль доверенной загрузки вычислительных машин «Соболь» 4, производителя ООО «Код безопасности»; СДЗ электронный замок Витязь, производителя АО «Крафтвэй корпорэйшн ПЛС» </w:t>
      </w:r>
      <w:r>
        <w:rPr>
          <w:b/>
          <w:b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 xml:space="preserve">механизмы управления средствами защиты реализованы </w:t>
      </w:r>
      <w:r>
        <w:rPr>
          <w:b/>
          <w:bCs/>
          <w:color w:val="000000"/>
          <w:spacing w:val="0"/>
          <w:w w:val="100"/>
          <w:position w:val="0"/>
          <w:sz w:val="24"/>
          <w:szCs w:val="24"/>
          <w:u w:val="single"/>
          <w:shd w:val="clear" w:color="auto" w:fill="auto"/>
          <w:lang w:val="ru-RU" w:eastAsia="ru-RU" w:bidi="ru-RU"/>
        </w:rPr>
        <w:t>частично</w:t>
      </w:r>
      <w:r>
        <w:rPr>
          <w:b/>
          <w:b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 xml:space="preserve">, 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 xml:space="preserve">а в отношении СДЗ Аппаратный модуль доверенной загрузки «Аккорд-АМДЗ» / Аккорд-СХМ.2, производителя ЗАО «ОКБ САПР» </w:t>
      </w:r>
      <w:r>
        <w:rPr>
          <w:b/>
          <w:b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 xml:space="preserve">механизмы управления средствами защиты информации </w:t>
      </w:r>
      <w:r>
        <w:rPr>
          <w:b/>
          <w:bCs/>
          <w:color w:val="000000"/>
          <w:spacing w:val="0"/>
          <w:w w:val="100"/>
          <w:position w:val="0"/>
          <w:sz w:val="24"/>
          <w:szCs w:val="24"/>
          <w:u w:val="single"/>
          <w:shd w:val="clear" w:color="auto" w:fill="auto"/>
          <w:lang w:val="ru-RU" w:eastAsia="ru-RU" w:bidi="ru-RU"/>
        </w:rPr>
        <w:t>на этапе разработки</w:t>
      </w:r>
      <w:r>
        <w:rPr>
          <w:b/>
          <w:b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 xml:space="preserve">, 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что дополнительно подтверждает тот факт, что в данный момент отсутствует возможность централизованного управления средством доверенной загрузки сторонних производителей на средстве вычислительной техники с помощью Единого центра управления «Ла11аз Роек», имеющегося у Заказчиков.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00"/>
        <w:jc w:val="both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066" w:right="386" w:bottom="1154" w:left="790" w:header="0" w:footer="3" w:gutter="0"/>
          <w:cols w:space="720"/>
          <w:noEndnote/>
          <w:rtlGutter w:val="0"/>
          <w:docGrid w:linePitch="360"/>
        </w:sectPr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Следовательно из анализа Технического задания Заказчика Комиссией установлено, что совокупности установленных технических характеристик, предъявляемых к средствам доверенной загрузки, в действительности, соответствует только СДЗ линейки «Ла11аз Роек», производителя ООО «Конфидент», Российская Федерация, что дополнительно подтверждается информацией,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представленной в заявках участников закупки с идентификационными номерами: 116217705, 116230031, 116227127.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0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Таким образом, Комиссия приходит к выводу, что действия Заказчика, сформировавшего в Техническом задании, такие характеристики, которым соответствует средство доверенной загрузки лишь одного производителя, противоречат требованиям пункта 1 части 1 статьи 33 Закона о контрактной системе.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0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Комиссией установлено, что при расчете НМЦК Заказчиком использовалось коммерческое предложение, представленное ООО «БАЛТ-информ Трейд» (вх. № 302 от 02.02.2024), в котором к поставке предложено СДЗ уровня платы расширения АМДЗ «Аккорд» РС1Е, сертифицированное ФСТЭК, которое не соответствует требованиям Технического задания закупки.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0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На основании изложенного Комиссия приходит к выводу о нарушении Заказчиком пункта 2 части 2 статьи 42 Закона о контрактной системе в части отсутствия обоснования НМЦК.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0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Принимая во внимание, что допущенные Заказчиком при формировании извещения об осуществлении закупки нарушения пункта 1 части 1 статьи 33, пункта 2 части 2 статьи 42 Закона о контрактной системе не позволяют предложить к поставке средства доверенной загрузки иных производителей, о чем также дополнительно свидетельствуют поданные заявки, в которых к поставке предложено СДЗ производителя ООО «Конфидент», Комиссия приходит к выводу о наличии в рассматриваемом случае оснований для выдачи обязательного для исполнения предписания.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0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В заседании Комиссии представители лиц, участвующих в рассмотрении жалобы, на вопрос Председателя Комиссии о достаточности доказательств, представленных в материалы дела, пояснили, что все доказательства, которые они намеревались представить, имеются в распоряжении Комиссии, иных доказательств, ходатайств, в том числе о представлении или истребовании дополнительных доказательств не имеется.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240" w:line="240" w:lineRule="auto"/>
        <w:ind w:left="0" w:right="0" w:firstLine="60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В связи с изложенным, руководствуясь частями 1, 4, 7 статьи 105, частью 8 статьи 106 Закона о контрактной системе, Комиссия</w:t>
      </w:r>
    </w:p>
    <w:p>
      <w:pPr>
        <w:pStyle w:val="Style17"/>
        <w:keepNext/>
        <w:keepLines/>
        <w:widowControl w:val="0"/>
        <w:shd w:val="clear" w:color="auto" w:fill="auto"/>
        <w:bidi w:val="0"/>
        <w:spacing w:before="0" w:line="240" w:lineRule="auto"/>
        <w:ind w:left="0" w:right="0" w:firstLine="0"/>
        <w:jc w:val="center"/>
      </w:pPr>
      <w:bookmarkStart w:id="24" w:name="bookmark24"/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РЕШИЛА:</w:t>
      </w:r>
      <w:bookmarkEnd w:id="24"/>
    </w:p>
    <w:p>
      <w:pPr>
        <w:pStyle w:val="Style15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897" w:val="left"/>
        </w:tabs>
        <w:bidi w:val="0"/>
        <w:spacing w:before="0" w:after="0" w:line="240" w:lineRule="auto"/>
        <w:ind w:left="0" w:right="0" w:firstLine="60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Признать жалобу ООО «ИНТЕГРА» частично обоснованной.</w:t>
      </w:r>
    </w:p>
    <w:p>
      <w:pPr>
        <w:pStyle w:val="Style15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892" w:val="left"/>
        </w:tabs>
        <w:bidi w:val="0"/>
        <w:spacing w:before="0" w:after="0" w:line="240" w:lineRule="auto"/>
        <w:ind w:left="0" w:right="0" w:firstLine="60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Признать заказчиков согласно извещению № 0335200014924000750 нарушившими пункт 1 части 1 статьи 33, пункт 2 части 2 статьи 42 Закона о контрактной системе.</w:t>
      </w:r>
    </w:p>
    <w:p>
      <w:pPr>
        <w:pStyle w:val="Style15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882" w:val="left"/>
        </w:tabs>
        <w:bidi w:val="0"/>
        <w:spacing w:before="0" w:after="0" w:line="240" w:lineRule="auto"/>
        <w:ind w:left="0" w:right="0" w:firstLine="60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Выдать заказчикам согласно извещению № 0335200014924000750, комиссии по осуществлению закупок уполномоченного учреждения, оператору электронной площадки (в части имеющихся полномочий) предписание об устранении выявленного нарушения Закона о контрактной системе.</w:t>
      </w:r>
    </w:p>
    <w:p>
      <w:pPr>
        <w:pStyle w:val="Style15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882" w:val="left"/>
        </w:tabs>
        <w:bidi w:val="0"/>
        <w:spacing w:before="0" w:after="0" w:line="240" w:lineRule="auto"/>
        <w:ind w:left="0" w:right="0" w:firstLine="60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Передать материалы дела должностному лицу Калининградского УФАС России для решения вопроса о привлечении лиц, допустивших нарушение Закона о контрактной системе, к административной ответственности.</w:t>
      </w:r>
    </w:p>
    <w:p>
      <w:pPr>
        <w:widowControl w:val="0"/>
        <w:spacing w:line="1" w:lineRule="exact"/>
        <w:sectPr>
          <w:footerReference w:type="default" r:id="rId7"/>
          <w:footnotePr>
            <w:pos w:val="pageBottom"/>
            <w:numFmt w:val="decimal"/>
            <w:numRestart w:val="continuous"/>
          </w:footnotePr>
          <w:pgSz w:w="11900" w:h="16840"/>
          <w:pgMar w:top="1110" w:right="373" w:bottom="550" w:left="818" w:header="682" w:footer="3" w:gutter="0"/>
          <w:cols w:space="720"/>
          <w:noEndnote/>
          <w:rtlGutter w:val="0"/>
          <w:docGrid w:linePitch="360"/>
        </w:sectPr>
      </w:pPr>
      <w:r>
        <mc:AlternateContent>
          <mc:Choice Requires="wps">
            <w:drawing>
              <wp:anchor distT="444500" distB="389890" distL="0" distR="0" simplePos="0" relativeHeight="125829380" behindDoc="0" locked="0" layoutInCell="1" allowOverlap="1">
                <wp:simplePos x="0" y="0"/>
                <wp:positionH relativeFrom="page">
                  <wp:posOffset>735965</wp:posOffset>
                </wp:positionH>
                <wp:positionV relativeFrom="paragraph">
                  <wp:posOffset>444500</wp:posOffset>
                </wp:positionV>
                <wp:extent cx="1572895" cy="216535"/>
                <wp:wrapTopAndBottom/>
                <wp:docPr id="9" name="Shape 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572895" cy="21653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24"/>
                                <w:szCs w:val="24"/>
                                <w:shd w:val="clear" w:color="auto" w:fill="auto"/>
                                <w:lang w:val="ru-RU" w:eastAsia="ru-RU" w:bidi="ru-RU"/>
                              </w:rPr>
                              <w:t>Председатель комиссии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5" type="#_x0000_t202" style="position:absolute;margin-left:57.950000000000003pt;margin-top:35.pt;width:123.85000000000001pt;height:17.050000000000001pt;z-index:-125829373;mso-wrap-distance-left:0;mso-wrap-distance-top:35.pt;mso-wrap-distance-right:0;mso-wrap-distance-bottom:30.699999999999999pt;mso-position-horizontal-relative:page" filled="f" stroked="f">
                <v:textbox inset="0,0,0,0">
                  <w:txbxContent>
                    <w:p>
                      <w:pPr>
                        <w:pStyle w:val="Style1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24"/>
                          <w:szCs w:val="24"/>
                          <w:shd w:val="clear" w:color="auto" w:fill="auto"/>
                          <w:lang w:val="ru-RU" w:eastAsia="ru-RU" w:bidi="ru-RU"/>
                        </w:rPr>
                        <w:t>Председатель комиссии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drawing>
          <wp:anchor distT="514350" distB="0" distL="0" distR="1786255" simplePos="0" relativeHeight="125829382" behindDoc="0" locked="0" layoutInCell="1" allowOverlap="1">
            <wp:simplePos x="0" y="0"/>
            <wp:positionH relativeFrom="page">
              <wp:posOffset>2659380</wp:posOffset>
            </wp:positionH>
            <wp:positionV relativeFrom="paragraph">
              <wp:posOffset>514350</wp:posOffset>
            </wp:positionV>
            <wp:extent cx="353695" cy="536575"/>
            <wp:wrapTopAndBottom/>
            <wp:docPr id="11" name="Shape 1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Picture box 12"/>
                    <pic:cNvPicPr/>
                  </pic:nvPicPr>
                  <pic:blipFill>
                    <a:blip r:embed="rId8"/>
                    <a:stretch/>
                  </pic:blipFill>
                  <pic:spPr>
                    <a:xfrm>
                      <a:ext cx="353695" cy="536575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2" behindDoc="0" locked="0" layoutInCell="1" allowOverlap="1">
                <wp:simplePos x="0" y="0"/>
                <wp:positionH relativeFrom="page">
                  <wp:posOffset>3116580</wp:posOffset>
                </wp:positionH>
                <wp:positionV relativeFrom="paragraph">
                  <wp:posOffset>916940</wp:posOffset>
                </wp:positionV>
                <wp:extent cx="1283335" cy="103505"/>
                <wp:wrapNone/>
                <wp:docPr id="13" name="Shape 1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83335" cy="1035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7"/>
                              <w:keepNext w:val="0"/>
                              <w:keepLines w:val="0"/>
                              <w:widowControl w:val="0"/>
                              <w:pBdr>
                                <w:top w:val="single" w:sz="0" w:space="0" w:color="000000"/>
                                <w:left w:val="single" w:sz="0" w:space="0" w:color="000000"/>
                                <w:bottom w:val="single" w:sz="0" w:space="0" w:color="000000"/>
                                <w:right w:val="single" w:sz="0" w:space="0" w:color="000000"/>
                              </w:pBdr>
                              <w:shd w:val="clear" w:color="auto" w:fill="000000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E7E7E7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СВЕДЕНИЯ О СЕРТИФИКАТЕ ЭП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9" type="#_x0000_t202" style="position:absolute;margin-left:245.40000000000001pt;margin-top:72.200000000000003pt;width:101.05pt;height:8.1500000000000004pt;z-index:251657729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27"/>
                        <w:keepNext w:val="0"/>
                        <w:keepLines w:val="0"/>
                        <w:widowControl w:val="0"/>
                        <w:pBdr>
                          <w:top w:val="single" w:sz="0" w:space="0" w:color="000000"/>
                          <w:left w:val="single" w:sz="0" w:space="0" w:color="000000"/>
                          <w:bottom w:val="single" w:sz="0" w:space="0" w:color="000000"/>
                          <w:right w:val="single" w:sz="0" w:space="0" w:color="000000"/>
                        </w:pBdr>
                        <w:shd w:val="clear" w:color="auto" w:fill="000000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E7E7E7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СВЕДЕНИЯ О СЕРТИФИКАТЕ ЭП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484" behindDoc="0" locked="0" layoutInCell="1" allowOverlap="1">
                <wp:simplePos x="0" y="0"/>
                <wp:positionH relativeFrom="page">
                  <wp:posOffset>3074035</wp:posOffset>
                </wp:positionH>
                <wp:positionV relativeFrom="paragraph">
                  <wp:posOffset>605790</wp:posOffset>
                </wp:positionV>
                <wp:extent cx="1722120" cy="255905"/>
                <wp:wrapNone/>
                <wp:docPr id="15" name="Shape 1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2120" cy="2559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7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Подлинник электронного документа, подписанного ЭП, хранится в системе электронного документооборота 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ФАС </w:t>
                            </w: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1" type="#_x0000_t202" style="position:absolute;margin-left:242.05000000000001pt;margin-top:47.700000000000003pt;width:135.59999999999999pt;height:20.150000000000002pt;z-index:251657731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27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Подлинник электронного документа, подписанного ЭП, хранится в системе электронного документооборота 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ФАС </w:t>
                      </w: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444500" distB="389890" distL="0" distR="0" simplePos="0" relativeHeight="125829383" behindDoc="0" locked="0" layoutInCell="1" allowOverlap="1">
                <wp:simplePos x="0" y="0"/>
                <wp:positionH relativeFrom="page">
                  <wp:posOffset>6286500</wp:posOffset>
                </wp:positionH>
                <wp:positionV relativeFrom="paragraph">
                  <wp:posOffset>444500</wp:posOffset>
                </wp:positionV>
                <wp:extent cx="905510" cy="216535"/>
                <wp:wrapTopAndBottom/>
                <wp:docPr id="17" name="Shape 1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905510" cy="21653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24"/>
                                <w:szCs w:val="24"/>
                                <w:shd w:val="clear" w:color="auto" w:fill="auto"/>
                                <w:lang w:val="ru-RU" w:eastAsia="ru-RU" w:bidi="ru-RU"/>
                              </w:rPr>
                              <w:t>Н.С. Иванова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3" type="#_x0000_t202" style="position:absolute;margin-left:495.pt;margin-top:35.pt;width:71.299999999999997pt;height:17.050000000000001pt;z-index:-125829370;mso-wrap-distance-left:0;mso-wrap-distance-top:35.pt;mso-wrap-distance-right:0;mso-wrap-distance-bottom:30.699999999999999pt;mso-position-horizontal-relative:page" filled="f" stroked="f">
                <v:textbox inset="0,0,0,0">
                  <w:txbxContent>
                    <w:p>
                      <w:pPr>
                        <w:pStyle w:val="Style1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24"/>
                          <w:szCs w:val="24"/>
                          <w:shd w:val="clear" w:color="auto" w:fill="auto"/>
                          <w:lang w:val="ru-RU" w:eastAsia="ru-RU" w:bidi="ru-RU"/>
                        </w:rPr>
                        <w:t>Н.С. Иванова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pStyle w:val="Style3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  <w:rPr>
          <w:sz w:val="11"/>
          <w:szCs w:val="11"/>
        </w:rPr>
      </w:pPr>
      <w:r>
        <w:rPr>
          <w:color w:val="000000"/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Кому </w:t>
      </w:r>
      <w:r>
        <w:rPr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выдан: </w:t>
      </w:r>
      <w:r>
        <w:rPr>
          <w:b/>
          <w:bCs/>
          <w:color w:val="000000"/>
          <w:spacing w:val="0"/>
          <w:w w:val="100"/>
          <w:position w:val="0"/>
          <w:sz w:val="11"/>
          <w:szCs w:val="11"/>
          <w:shd w:val="clear" w:color="auto" w:fill="auto"/>
          <w:lang w:val="ru-RU" w:eastAsia="ru-RU" w:bidi="ru-RU"/>
        </w:rPr>
        <w:t>Иванова Наталия Сергеевна</w:t>
      </w:r>
    </w:p>
    <w:p>
      <w:pPr>
        <w:pStyle w:val="Style3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color w:val="434343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Сертификат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№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490303АЕ802000А96Е791С51240В6123</w:t>
      </w:r>
    </w:p>
    <w:p>
      <w:pPr>
        <w:pStyle w:val="Style31"/>
        <w:keepNext w:val="0"/>
        <w:keepLines w:val="0"/>
        <w:widowControl w:val="0"/>
        <w:shd w:val="clear" w:color="auto" w:fill="auto"/>
        <w:bidi w:val="0"/>
        <w:spacing w:before="0" w:after="320" w:line="240" w:lineRule="auto"/>
        <w:ind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Действителен </w:t>
      </w:r>
      <w:r>
        <w:rPr>
          <w:color w:val="434343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24.07.2023 </w:t>
      </w:r>
      <w:r>
        <w:rPr>
          <w:color w:val="8D8D8D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по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16.10.2024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80" w:line="240" w:lineRule="auto"/>
        <w:ind w:left="0" w:right="0" w:firstLine="36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Члены комиссии: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680" w:line="240" w:lineRule="auto"/>
        <w:ind w:left="0" w:right="220" w:firstLine="0"/>
        <w:jc w:val="right"/>
      </w:pPr>
      <w:r>
        <w:drawing>
          <wp:anchor distT="0" distB="0" distL="114300" distR="1900555" simplePos="0" relativeHeight="125829385" behindDoc="0" locked="0" layoutInCell="1" allowOverlap="1">
            <wp:simplePos x="0" y="0"/>
            <wp:positionH relativeFrom="page">
              <wp:posOffset>2659380</wp:posOffset>
            </wp:positionH>
            <wp:positionV relativeFrom="paragraph">
              <wp:posOffset>63500</wp:posOffset>
            </wp:positionV>
            <wp:extent cx="353695" cy="536575"/>
            <wp:wrapSquare wrapText="right"/>
            <wp:docPr id="19" name="Shape 19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Picture box 20"/>
                    <pic:cNvPicPr/>
                  </pic:nvPicPr>
                  <pic:blipFill>
                    <a:blip r:embed="rId10"/>
                    <a:stretch/>
                  </pic:blipFill>
                  <pic:spPr>
                    <a:xfrm>
                      <a:ext cx="353695" cy="536575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6" behindDoc="0" locked="0" layoutInCell="1" allowOverlap="1">
                <wp:simplePos x="0" y="0"/>
                <wp:positionH relativeFrom="page">
                  <wp:posOffset>3116580</wp:posOffset>
                </wp:positionH>
                <wp:positionV relativeFrom="paragraph">
                  <wp:posOffset>462915</wp:posOffset>
                </wp:positionV>
                <wp:extent cx="1286510" cy="103505"/>
                <wp:wrapNone/>
                <wp:docPr id="21" name="Shape 2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86510" cy="1035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7"/>
                              <w:keepNext w:val="0"/>
                              <w:keepLines w:val="0"/>
                              <w:widowControl w:val="0"/>
                              <w:pBdr>
                                <w:top w:val="single" w:sz="0" w:space="0" w:color="000000"/>
                                <w:left w:val="single" w:sz="0" w:space="0" w:color="000000"/>
                                <w:bottom w:val="single" w:sz="0" w:space="0" w:color="000000"/>
                                <w:right w:val="single" w:sz="0" w:space="0" w:color="000000"/>
                              </w:pBdr>
                              <w:shd w:val="clear" w:color="auto" w:fill="000000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E7E7E7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СВЕДЕНИЯ О СЕРТИФИКАТЕ ЭП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7" type="#_x0000_t202" style="position:absolute;margin-left:245.40000000000001pt;margin-top:36.450000000000003pt;width:101.3pt;height:8.1500000000000004pt;z-index:251657733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27"/>
                        <w:keepNext w:val="0"/>
                        <w:keepLines w:val="0"/>
                        <w:widowControl w:val="0"/>
                        <w:pBdr>
                          <w:top w:val="single" w:sz="0" w:space="0" w:color="000000"/>
                          <w:left w:val="single" w:sz="0" w:space="0" w:color="000000"/>
                          <w:bottom w:val="single" w:sz="0" w:space="0" w:color="000000"/>
                          <w:right w:val="single" w:sz="0" w:space="0" w:color="000000"/>
                        </w:pBdr>
                        <w:shd w:val="clear" w:color="auto" w:fill="000000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E7E7E7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СВЕДЕНИЯ О СЕРТИФИКАТЕ ЭП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488" behindDoc="0" locked="0" layoutInCell="1" allowOverlap="1">
                <wp:simplePos x="0" y="0"/>
                <wp:positionH relativeFrom="page">
                  <wp:posOffset>3074035</wp:posOffset>
                </wp:positionH>
                <wp:positionV relativeFrom="paragraph">
                  <wp:posOffset>151765</wp:posOffset>
                </wp:positionV>
                <wp:extent cx="1722120" cy="255905"/>
                <wp:wrapNone/>
                <wp:docPr id="23" name="Shape 2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2120" cy="2559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7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Подлинник электронного документа, подписанного 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ЭП, </w:t>
                            </w: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9" type="#_x0000_t202" style="position:absolute;margin-left:242.05000000000001pt;margin-top:11.950000000000001pt;width:135.59999999999999pt;height:20.150000000000002pt;z-index:251657735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27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Подлинник электронного документа, подписанного 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ЭП, </w:t>
                      </w: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Ю.А. Зацепина</w:t>
      </w:r>
    </w:p>
    <w:p>
      <w:pPr>
        <w:pStyle w:val="Style3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  <w:rPr>
          <w:sz w:val="11"/>
          <w:szCs w:val="11"/>
        </w:rPr>
      </w:pPr>
      <w:r>
        <w:rPr>
          <w:color w:val="000000"/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Кому </w:t>
      </w:r>
      <w:r>
        <w:rPr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выдан: </w:t>
      </w:r>
      <w:r>
        <w:rPr>
          <w:b/>
          <w:bCs/>
          <w:color w:val="000000"/>
          <w:spacing w:val="0"/>
          <w:w w:val="100"/>
          <w:position w:val="0"/>
          <w:sz w:val="11"/>
          <w:szCs w:val="11"/>
          <w:shd w:val="clear" w:color="auto" w:fill="auto"/>
          <w:lang w:val="ru-RU" w:eastAsia="ru-RU" w:bidi="ru-RU"/>
        </w:rPr>
        <w:t>Зацепина Юлия Александровна</w:t>
      </w:r>
    </w:p>
    <w:p>
      <w:pPr>
        <w:pStyle w:val="Style3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color w:val="434343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Сертификат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№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00ВА4Е7Е01С2434О06421 </w:t>
      </w:r>
      <w:r>
        <w:rPr>
          <w:color w:val="434343"/>
          <w:spacing w:val="0"/>
          <w:w w:val="100"/>
          <w:position w:val="0"/>
          <w:shd w:val="clear" w:color="auto" w:fill="auto"/>
          <w:lang w:val="ru-RU" w:eastAsia="ru-RU" w:bidi="ru-RU"/>
        </w:rPr>
        <w:t>Ю4Е7508Е7В23</w:t>
      </w:r>
    </w:p>
    <w:p>
      <w:pPr>
        <w:pStyle w:val="Style31"/>
        <w:keepNext w:val="0"/>
        <w:keepLines w:val="0"/>
        <w:widowControl w:val="0"/>
        <w:shd w:val="clear" w:color="auto" w:fill="auto"/>
        <w:bidi w:val="0"/>
        <w:spacing w:before="0" w:after="40" w:line="240" w:lineRule="auto"/>
        <w:ind w:right="0" w:firstLine="0"/>
        <w:jc w:val="lef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110" w:right="373" w:bottom="550" w:left="818" w:header="0" w:footer="3" w:gutter="0"/>
          <w:cols w:space="720"/>
          <w:noEndnote/>
          <w:rtlGutter w:val="0"/>
          <w:docGrid w:linePitch="360"/>
        </w:sectPr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Действителен </w:t>
      </w:r>
      <w:r>
        <w:rPr>
          <w:color w:val="20202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 </w:t>
      </w:r>
      <w:r>
        <w:rPr>
          <w:color w:val="434343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21.03.2024 </w:t>
      </w:r>
      <w:r>
        <w:rPr>
          <w:color w:val="8D8D8D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по </w:t>
      </w:r>
      <w:r>
        <w:rPr>
          <w:color w:val="434343"/>
          <w:spacing w:val="0"/>
          <w:w w:val="100"/>
          <w:position w:val="0"/>
          <w:shd w:val="clear" w:color="auto" w:fill="auto"/>
          <w:lang w:val="ru-RU" w:eastAsia="ru-RU" w:bidi="ru-RU"/>
        </w:rPr>
        <w:t>14.06.2025</w:t>
      </w:r>
    </w:p>
    <w:p>
      <w:pPr>
        <w:widowControl w:val="0"/>
        <w:spacing w:line="1" w:lineRule="exact"/>
      </w:pPr>
      <w:r>
        <w:drawing>
          <wp:anchor distT="69850" distB="0" distL="0" distR="1786255" simplePos="0" relativeHeight="125829386" behindDoc="0" locked="0" layoutInCell="1" allowOverlap="1">
            <wp:simplePos x="0" y="0"/>
            <wp:positionH relativeFrom="page">
              <wp:posOffset>2662555</wp:posOffset>
            </wp:positionH>
            <wp:positionV relativeFrom="paragraph">
              <wp:posOffset>69850</wp:posOffset>
            </wp:positionV>
            <wp:extent cx="347345" cy="396240"/>
            <wp:wrapTopAndBottom/>
            <wp:docPr id="25" name="Shape 2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" name="Picture box 26"/>
                    <pic:cNvPicPr/>
                  </pic:nvPicPr>
                  <pic:blipFill>
                    <a:blip r:embed="rId12"/>
                    <a:stretch/>
                  </pic:blipFill>
                  <pic:spPr>
                    <a:xfrm>
                      <a:ext cx="347345" cy="39624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90" behindDoc="0" locked="0" layoutInCell="1" allowOverlap="1">
                <wp:simplePos x="0" y="0"/>
                <wp:positionH relativeFrom="page">
                  <wp:posOffset>3074035</wp:posOffset>
                </wp:positionH>
                <wp:positionV relativeFrom="paragraph">
                  <wp:posOffset>161290</wp:posOffset>
                </wp:positionV>
                <wp:extent cx="1722120" cy="255905"/>
                <wp:wrapNone/>
                <wp:docPr id="27" name="Shape 2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2120" cy="2559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7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Подлинник электронного документа, подписанного 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ЭП, </w:t>
                            </w: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3" type="#_x0000_t202" style="position:absolute;margin-left:242.05000000000001pt;margin-top:12.700000000000001pt;width:135.59999999999999pt;height:20.150000000000002pt;z-index:251657737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27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Подлинник электронного документа, подписанного 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ЭП, </w:t>
                      </w: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249555" distL="0" distR="0" simplePos="0" relativeHeight="125829387" behindDoc="0" locked="0" layoutInCell="1" allowOverlap="1">
                <wp:simplePos x="0" y="0"/>
                <wp:positionH relativeFrom="page">
                  <wp:posOffset>6271260</wp:posOffset>
                </wp:positionH>
                <wp:positionV relativeFrom="paragraph">
                  <wp:posOffset>0</wp:posOffset>
                </wp:positionV>
                <wp:extent cx="914400" cy="216535"/>
                <wp:wrapTopAndBottom/>
                <wp:docPr id="29" name="Shape 2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914400" cy="21653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24"/>
                                <w:szCs w:val="24"/>
                                <w:shd w:val="clear" w:color="auto" w:fill="auto"/>
                                <w:lang w:val="ru-RU" w:eastAsia="ru-RU" w:bidi="ru-RU"/>
                              </w:rPr>
                              <w:t>О.И. Филатов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5" type="#_x0000_t202" style="position:absolute;margin-left:493.80000000000001pt;margin-top:0;width:72.pt;height:17.050000000000001pt;z-index:-125829366;mso-wrap-distance-left:0;mso-wrap-distance-right:0;mso-wrap-distance-bottom:19.650000000000002pt;mso-position-horizontal-relative:page" filled="f" stroked="f">
                <v:textbox inset="0,0,0,0">
                  <w:txbxContent>
                    <w:p>
                      <w:pPr>
                        <w:pStyle w:val="Style1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24"/>
                          <w:szCs w:val="24"/>
                          <w:shd w:val="clear" w:color="auto" w:fill="auto"/>
                          <w:lang w:val="ru-RU" w:eastAsia="ru-RU" w:bidi="ru-RU"/>
                        </w:rPr>
                        <w:t>О.И. Филатов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pStyle w:val="Style38"/>
        <w:keepNext w:val="0"/>
        <w:keepLines w:val="0"/>
        <w:widowControl w:val="0"/>
        <w:pBdr>
          <w:top w:val="single" w:sz="0" w:space="1" w:color="000000"/>
          <w:left w:val="single" w:sz="0" w:space="0" w:color="000000"/>
          <w:bottom w:val="single" w:sz="0" w:space="2" w:color="000000"/>
          <w:right w:val="single" w:sz="0" w:space="0" w:color="000000"/>
        </w:pBdr>
        <w:shd w:val="clear" w:color="auto" w:fill="000000"/>
        <w:bidi w:val="0"/>
        <w:spacing w:before="0" w:after="66" w:line="240" w:lineRule="auto"/>
        <w:ind w:left="0" w:right="0" w:firstLine="0"/>
        <w:jc w:val="center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СВЕДЕНИЯ О СЕРТИФИКАТЕ ЭП</w:t>
      </w:r>
    </w:p>
    <w:p>
      <w:pPr>
        <w:pStyle w:val="Style3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3080" w:right="0" w:firstLine="0"/>
        <w:jc w:val="left"/>
        <w:rPr>
          <w:sz w:val="11"/>
          <w:szCs w:val="11"/>
        </w:rPr>
      </w:pPr>
      <w:r>
        <w:rPr>
          <w:color w:val="000000"/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Кому </w:t>
      </w:r>
      <w:r>
        <w:rPr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выдан: </w:t>
      </w:r>
      <w:r>
        <w:rPr>
          <w:b/>
          <w:bCs/>
          <w:color w:val="000000"/>
          <w:spacing w:val="0"/>
          <w:w w:val="100"/>
          <w:position w:val="0"/>
          <w:sz w:val="11"/>
          <w:szCs w:val="11"/>
          <w:shd w:val="clear" w:color="auto" w:fill="auto"/>
          <w:lang w:val="ru-RU" w:eastAsia="ru-RU" w:bidi="ru-RU"/>
        </w:rPr>
        <w:t>Филатов Олег Игоревич</w:t>
      </w:r>
    </w:p>
    <w:p>
      <w:pPr>
        <w:pStyle w:val="Style3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3080" w:right="0" w:firstLine="0"/>
        <w:jc w:val="left"/>
      </w:pPr>
      <w:r>
        <w:rPr>
          <w:color w:val="434343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Сертификат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№ </w:t>
      </w:r>
      <w:r>
        <w:rPr>
          <w:color w:val="434343"/>
          <w:spacing w:val="0"/>
          <w:w w:val="100"/>
          <w:position w:val="0"/>
          <w:shd w:val="clear" w:color="auto" w:fill="auto"/>
          <w:lang w:val="ru-RU" w:eastAsia="ru-RU" w:bidi="ru-RU"/>
        </w:rPr>
        <w:t>00ОА0033В13779Е83А47338В4437361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1А5</w:t>
      </w:r>
    </w:p>
    <w:p>
      <w:pPr>
        <w:pStyle w:val="Style31"/>
        <w:keepNext w:val="0"/>
        <w:keepLines w:val="0"/>
        <w:widowControl w:val="0"/>
        <w:shd w:val="clear" w:color="auto" w:fill="auto"/>
        <w:bidi w:val="0"/>
        <w:spacing w:before="0" w:after="840" w:line="240" w:lineRule="auto"/>
        <w:ind w:left="3080"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Действителен </w:t>
      </w:r>
      <w:r>
        <w:rPr>
          <w:color w:val="434343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10.01.2024 по 04.04.2025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6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В соответствии с частью 9 статьи 106 Закона о контрактной системе, решение может быть обжаловано в судебном порядке в течение трех месяцев со дня его принятия.</w:t>
      </w:r>
    </w:p>
    <w:sectPr>
      <w:footerReference w:type="default" r:id="rId14"/>
      <w:footnotePr>
        <w:pos w:val="pageBottom"/>
        <w:numFmt w:val="decimal"/>
        <w:numRestart w:val="continuous"/>
      </w:footnotePr>
      <w:pgSz w:w="11900" w:h="16840"/>
      <w:pgMar w:top="2103" w:right="551" w:bottom="2103" w:left="1116" w:header="1675" w:footer="3" w:gutter="0"/>
      <w:cols w:space="720"/>
      <w:noEndnote/>
      <w:rtlGutter w:val="0"/>
      <w:docGrid w:linePitch="360"/>
    </w:sectPr>
  </w:body>
</w:document>
</file>

<file path=word/footer1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0" behindDoc="1" locked="0" layoutInCell="1" allowOverlap="1">
              <wp:simplePos x="0" y="0"/>
              <wp:positionH relativeFrom="page">
                <wp:posOffset>733425</wp:posOffset>
              </wp:positionH>
              <wp:positionV relativeFrom="page">
                <wp:posOffset>10019030</wp:posOffset>
              </wp:positionV>
              <wp:extent cx="3267710" cy="100330"/>
              <wp:wrapNone/>
              <wp:docPr id="1" name="Shape 1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3267710" cy="1003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4"/>
                            <w:keepNext w:val="0"/>
                            <w:keepLines w:val="0"/>
                            <w:widowControl w:val="0"/>
                            <w:shd w:val="clear" w:color="auto" w:fill="auto"/>
                            <w:tabs>
                              <w:tab w:pos="5146" w:val="right"/>
                            </w:tabs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24"/>
                              <w:szCs w:val="24"/>
                              <w:shd w:val="clear" w:color="auto" w:fill="auto"/>
                              <w:lang w:val="ru-RU" w:eastAsia="ru-RU" w:bidi="ru-RU"/>
                            </w:rPr>
                            <w:t>2024-1760</w:t>
                            <w:tab/>
                          </w:r>
                          <w:fldSimple w:instr=" PAGE \* MERGEFORMAT "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24"/>
                                <w:szCs w:val="24"/>
                                <w:shd w:val="clear" w:color="auto" w:fill="auto"/>
                                <w:lang w:val="ru-RU" w:eastAsia="ru-RU" w:bidi="ru-RU"/>
                              </w:rPr>
                              <w:t>#</w:t>
                            </w:r>
                          </w:fldSimple>
                        </w:p>
                      </w:txbxContent>
                    </wps:txbx>
                    <wps:bodyPr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27" type="#_x0000_t202" style="position:absolute;margin-left:57.75pt;margin-top:788.89999999999998pt;width:257.30000000000001pt;height:7.9000000000000004pt;z-index:-188744063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4"/>
                      <w:keepNext w:val="0"/>
                      <w:keepLines w:val="0"/>
                      <w:widowControl w:val="0"/>
                      <w:shd w:val="clear" w:color="auto" w:fill="auto"/>
                      <w:tabs>
                        <w:tab w:pos="5146" w:val="right"/>
                      </w:tabs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24"/>
                        <w:szCs w:val="24"/>
                        <w:shd w:val="clear" w:color="auto" w:fill="auto"/>
                        <w:lang w:val="ru-RU" w:eastAsia="ru-RU" w:bidi="ru-RU"/>
                      </w:rPr>
                      <w:t>2024-1760</w:t>
                      <w:tab/>
                    </w:r>
                    <w:fldSimple w:instr=" PAGE \* MERGEFORMAT "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24"/>
                          <w:szCs w:val="24"/>
                          <w:shd w:val="clear" w:color="auto" w:fill="auto"/>
                          <w:lang w:val="ru-RU" w:eastAsia="ru-RU" w:bidi="ru-RU"/>
                        </w:rPr>
                        <w:t>#</w:t>
                      </w:r>
                    </w:fldSimple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2" behindDoc="1" locked="0" layoutInCell="1" allowOverlap="1">
              <wp:simplePos x="0" y="0"/>
              <wp:positionH relativeFrom="page">
                <wp:posOffset>723900</wp:posOffset>
              </wp:positionH>
              <wp:positionV relativeFrom="page">
                <wp:posOffset>9857740</wp:posOffset>
              </wp:positionV>
              <wp:extent cx="648970" cy="100330"/>
              <wp:wrapNone/>
              <wp:docPr id="3" name="Shape 3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48970" cy="1003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24"/>
                              <w:szCs w:val="24"/>
                              <w:shd w:val="clear" w:color="auto" w:fill="auto"/>
                              <w:lang w:val="ru-RU" w:eastAsia="ru-RU" w:bidi="ru-RU"/>
                            </w:rPr>
                            <w:t>2024-1760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9" type="#_x0000_t202" style="position:absolute;margin-left:57.pt;margin-top:776.20000000000005pt;width:51.100000000000001pt;height:7.9000000000000004pt;z-index:-188744061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24"/>
                        <w:szCs w:val="24"/>
                        <w:shd w:val="clear" w:color="auto" w:fill="auto"/>
                        <w:lang w:val="ru-RU" w:eastAsia="ru-RU" w:bidi="ru-RU"/>
                      </w:rPr>
                      <w:t>2024-1760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3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4" behindDoc="1" locked="0" layoutInCell="1" allowOverlap="1">
              <wp:simplePos x="0" y="0"/>
              <wp:positionH relativeFrom="page">
                <wp:posOffset>723900</wp:posOffset>
              </wp:positionH>
              <wp:positionV relativeFrom="page">
                <wp:posOffset>10016490</wp:posOffset>
              </wp:positionV>
              <wp:extent cx="648970" cy="100330"/>
              <wp:wrapNone/>
              <wp:docPr id="7" name="Shape 7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48970" cy="1003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24"/>
                              <w:szCs w:val="24"/>
                              <w:shd w:val="clear" w:color="auto" w:fill="auto"/>
                              <w:lang w:val="ru-RU" w:eastAsia="ru-RU" w:bidi="ru-RU"/>
                            </w:rPr>
                            <w:t>2024-1760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3" type="#_x0000_t202" style="position:absolute;margin-left:57.pt;margin-top:788.70000000000005pt;width:51.100000000000001pt;height:7.9000000000000004pt;z-index:-188744059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24"/>
                        <w:szCs w:val="24"/>
                        <w:shd w:val="clear" w:color="auto" w:fill="auto"/>
                        <w:lang w:val="ru-RU" w:eastAsia="ru-RU" w:bidi="ru-RU"/>
                      </w:rPr>
                      <w:t>2024-1760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4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6" behindDoc="1" locked="0" layoutInCell="1" allowOverlap="1">
              <wp:simplePos x="0" y="0"/>
              <wp:positionH relativeFrom="page">
                <wp:posOffset>733425</wp:posOffset>
              </wp:positionH>
              <wp:positionV relativeFrom="page">
                <wp:posOffset>10019030</wp:posOffset>
              </wp:positionV>
              <wp:extent cx="3267710" cy="100330"/>
              <wp:wrapNone/>
              <wp:docPr id="31" name="Shape 31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3267710" cy="1003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4"/>
                            <w:keepNext w:val="0"/>
                            <w:keepLines w:val="0"/>
                            <w:widowControl w:val="0"/>
                            <w:shd w:val="clear" w:color="auto" w:fill="auto"/>
                            <w:tabs>
                              <w:tab w:pos="5146" w:val="right"/>
                            </w:tabs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24"/>
                              <w:szCs w:val="24"/>
                              <w:shd w:val="clear" w:color="auto" w:fill="auto"/>
                              <w:lang w:val="ru-RU" w:eastAsia="ru-RU" w:bidi="ru-RU"/>
                            </w:rPr>
                            <w:t>2024-1760</w:t>
                            <w:tab/>
                          </w:r>
                          <w:fldSimple w:instr=" PAGE \* MERGEFORMAT "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24"/>
                                <w:szCs w:val="24"/>
                                <w:shd w:val="clear" w:color="auto" w:fill="auto"/>
                                <w:lang w:val="ru-RU" w:eastAsia="ru-RU" w:bidi="ru-RU"/>
                              </w:rPr>
                              <w:t>#</w:t>
                            </w:r>
                          </w:fldSimple>
                        </w:p>
                      </w:txbxContent>
                    </wps:txbx>
                    <wps:bodyPr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57" type="#_x0000_t202" style="position:absolute;margin-left:57.75pt;margin-top:788.89999999999998pt;width:257.30000000000001pt;height:7.9000000000000004pt;z-index:-188744057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4"/>
                      <w:keepNext w:val="0"/>
                      <w:keepLines w:val="0"/>
                      <w:widowControl w:val="0"/>
                      <w:shd w:val="clear" w:color="auto" w:fill="auto"/>
                      <w:tabs>
                        <w:tab w:pos="5146" w:val="right"/>
                      </w:tabs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24"/>
                        <w:szCs w:val="24"/>
                        <w:shd w:val="clear" w:color="auto" w:fill="auto"/>
                        <w:lang w:val="ru-RU" w:eastAsia="ru-RU" w:bidi="ru-RU"/>
                      </w:rPr>
                      <w:t>2024-1760</w:t>
                      <w:tab/>
                    </w:r>
                    <w:fldSimple w:instr=" PAGE \* MERGEFORMAT "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24"/>
                          <w:szCs w:val="24"/>
                          <w:shd w:val="clear" w:color="auto" w:fill="auto"/>
                          <w:lang w:val="ru-RU" w:eastAsia="ru-RU" w:bidi="ru-RU"/>
                        </w:rPr>
                        <w:t>#</w:t>
                      </w:r>
                    </w:fldSimple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russianLower"/>
      <w:lvlText w:val="%1)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ru-RU" w:eastAsia="ru-RU" w:bidi="ru-RU"/>
      </w:rPr>
    </w:lvl>
  </w:abstractNum>
  <w:abstractNum w:abstractNumId="2">
    <w:multiLevelType w:val="multilevel"/>
    <w:lvl w:ilvl="0">
      <w:start w:val="1"/>
      <w:numFmt w:val="bullet"/>
      <w:lvlText w:val="-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ru-RU" w:eastAsia="ru-RU" w:bidi="ru-RU"/>
      </w:rPr>
    </w:lvl>
  </w:abstractNum>
  <w:abstractNum w:abstractNumId="4">
    <w:multiLevelType w:val="multilevel"/>
    <w:lvl w:ilvl="0">
      <w:start w:val="1"/>
      <w:numFmt w:val="decimal"/>
      <w:lvlText w:val="%1.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ru-RU" w:eastAsia="ru-RU" w:bidi="ru-RU"/>
      </w:rPr>
    </w:lvl>
  </w:abstractNum>
  <w:num w:numId="1">
    <w:abstractNumId w:val="0"/>
  </w:num>
  <w:num w:numId="3">
    <w:abstractNumId w:val="2"/>
  </w:num>
  <w:num w:numId="5">
    <w:abstractNumId w:val="4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 w:bidi="ru-RU"/>
    </w:rPr>
  </w:style>
  <w:style w:type="character" w:default="1" w:styleId="DefaultParagraphFont">
    <w:name w:val="Default Paragraph Font"/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 w:bidi="ru-RU"/>
    </w:rPr>
  </w:style>
  <w:style w:type="character" w:customStyle="1" w:styleId="CharStyle3">
    <w:name w:val="Основной текст (3)_"/>
    <w:basedOn w:val="DefaultParagraphFont"/>
    <w:link w:val="Style2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476099"/>
      <w:sz w:val="17"/>
      <w:szCs w:val="17"/>
      <w:u w:val="none"/>
    </w:rPr>
  </w:style>
  <w:style w:type="character" w:customStyle="1" w:styleId="CharStyle5">
    <w:name w:val="Колонтитул (2)_"/>
    <w:basedOn w:val="DefaultParagraphFont"/>
    <w:link w:val="Style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CharStyle9">
    <w:name w:val="Основной текст (5)_"/>
    <w:basedOn w:val="DefaultParagraphFont"/>
    <w:link w:val="Style8"/>
    <w:rPr>
      <w:rFonts w:ascii="Times New Roman" w:eastAsia="Times New Roman" w:hAnsi="Times New Roman" w:cs="Times New Roman"/>
      <w:b w:val="0"/>
      <w:bCs w:val="0"/>
      <w:i w:val="0"/>
      <w:iCs w:val="0"/>
      <w:smallCaps/>
      <w:strike w:val="0"/>
      <w:color w:val="476099"/>
      <w:sz w:val="14"/>
      <w:szCs w:val="14"/>
      <w:u w:val="none"/>
    </w:rPr>
  </w:style>
  <w:style w:type="character" w:customStyle="1" w:styleId="CharStyle12">
    <w:name w:val="Заголовок №2_"/>
    <w:basedOn w:val="DefaultParagraphFont"/>
    <w:link w:val="Style1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30"/>
      <w:szCs w:val="30"/>
      <w:u w:val="single"/>
    </w:rPr>
  </w:style>
  <w:style w:type="character" w:customStyle="1" w:styleId="CharStyle16">
    <w:name w:val="Основной текст_"/>
    <w:basedOn w:val="DefaultParagraphFont"/>
    <w:link w:val="Style1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character" w:customStyle="1" w:styleId="CharStyle18">
    <w:name w:val="Заголовок №3_"/>
    <w:basedOn w:val="DefaultParagraphFont"/>
    <w:link w:val="Style17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u w:val="none"/>
    </w:rPr>
  </w:style>
  <w:style w:type="character" w:customStyle="1" w:styleId="CharStyle22">
    <w:name w:val="Заголовок №1_"/>
    <w:basedOn w:val="DefaultParagraphFont"/>
    <w:link w:val="Style21"/>
    <w:rPr>
      <w:rFonts w:ascii="Arial" w:eastAsia="Arial" w:hAnsi="Arial" w:cs="Arial"/>
      <w:b w:val="0"/>
      <w:bCs w:val="0"/>
      <w:i w:val="0"/>
      <w:iCs w:val="0"/>
      <w:smallCaps w:val="0"/>
      <w:strike w:val="0"/>
      <w:sz w:val="42"/>
      <w:szCs w:val="42"/>
      <w:u w:val="none"/>
    </w:rPr>
  </w:style>
  <w:style w:type="character" w:customStyle="1" w:styleId="CharStyle28">
    <w:name w:val="Подпись к картинке_"/>
    <w:basedOn w:val="DefaultParagraphFont"/>
    <w:link w:val="Style27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202020"/>
      <w:sz w:val="11"/>
      <w:szCs w:val="11"/>
      <w:u w:val="none"/>
    </w:rPr>
  </w:style>
  <w:style w:type="character" w:customStyle="1" w:styleId="CharStyle32">
    <w:name w:val="Основной текст (2)_"/>
    <w:basedOn w:val="DefaultParagraphFont"/>
    <w:link w:val="Style31"/>
    <w:rPr>
      <w:rFonts w:ascii="Arial" w:eastAsia="Arial" w:hAnsi="Arial" w:cs="Arial"/>
      <w:b w:val="0"/>
      <w:bCs w:val="0"/>
      <w:i w:val="0"/>
      <w:iCs w:val="0"/>
      <w:smallCaps w:val="0"/>
      <w:strike w:val="0"/>
      <w:color w:val="656565"/>
      <w:sz w:val="12"/>
      <w:szCs w:val="12"/>
      <w:u w:val="none"/>
    </w:rPr>
  </w:style>
  <w:style w:type="character" w:customStyle="1" w:styleId="CharStyle39">
    <w:name w:val="Основной текст (4)_"/>
    <w:basedOn w:val="DefaultParagraphFont"/>
    <w:link w:val="Style38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E7E7E7"/>
      <w:sz w:val="11"/>
      <w:szCs w:val="11"/>
      <w:u w:val="none"/>
    </w:rPr>
  </w:style>
  <w:style w:type="paragraph" w:customStyle="1" w:styleId="Style2">
    <w:name w:val="Основной текст (3)"/>
    <w:basedOn w:val="Normal"/>
    <w:link w:val="CharStyle3"/>
    <w:pPr>
      <w:widowControl w:val="0"/>
      <w:shd w:val="clear" w:color="auto" w:fill="auto"/>
      <w:spacing w:after="160" w:line="283" w:lineRule="auto"/>
      <w:jc w:val="center"/>
    </w:pPr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476099"/>
      <w:sz w:val="17"/>
      <w:szCs w:val="17"/>
      <w:u w:val="none"/>
    </w:rPr>
  </w:style>
  <w:style w:type="paragraph" w:customStyle="1" w:styleId="Style4">
    <w:name w:val="Колонтитул (2)"/>
    <w:basedOn w:val="Normal"/>
    <w:link w:val="CharStyle5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paragraph" w:customStyle="1" w:styleId="Style8">
    <w:name w:val="Основной текст (5)"/>
    <w:basedOn w:val="Normal"/>
    <w:link w:val="CharStyle9"/>
    <w:pPr>
      <w:widowControl w:val="0"/>
      <w:shd w:val="clear" w:color="auto" w:fill="auto"/>
      <w:spacing w:line="264" w:lineRule="auto"/>
      <w:jc w:val="center"/>
    </w:pPr>
    <w:rPr>
      <w:rFonts w:ascii="Times New Roman" w:eastAsia="Times New Roman" w:hAnsi="Times New Roman" w:cs="Times New Roman"/>
      <w:b w:val="0"/>
      <w:bCs w:val="0"/>
      <w:i w:val="0"/>
      <w:iCs w:val="0"/>
      <w:smallCaps/>
      <w:strike w:val="0"/>
      <w:color w:val="476099"/>
      <w:sz w:val="14"/>
      <w:szCs w:val="14"/>
      <w:u w:val="none"/>
    </w:rPr>
  </w:style>
  <w:style w:type="paragraph" w:customStyle="1" w:styleId="Style11">
    <w:name w:val="Заголовок №2"/>
    <w:basedOn w:val="Normal"/>
    <w:link w:val="CharStyle12"/>
    <w:pPr>
      <w:widowControl w:val="0"/>
      <w:shd w:val="clear" w:color="auto" w:fill="auto"/>
      <w:spacing w:after="320"/>
      <w:outlineLvl w:val="1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30"/>
      <w:szCs w:val="30"/>
      <w:u w:val="single"/>
    </w:rPr>
  </w:style>
  <w:style w:type="paragraph" w:customStyle="1" w:styleId="Style15">
    <w:name w:val="Основной текст"/>
    <w:basedOn w:val="Normal"/>
    <w:link w:val="CharStyle16"/>
    <w:pPr>
      <w:widowControl w:val="0"/>
      <w:shd w:val="clear" w:color="auto" w:fill="auto"/>
      <w:ind w:firstLine="40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paragraph" w:customStyle="1" w:styleId="Style17">
    <w:name w:val="Заголовок №3"/>
    <w:basedOn w:val="Normal"/>
    <w:link w:val="CharStyle18"/>
    <w:pPr>
      <w:widowControl w:val="0"/>
      <w:shd w:val="clear" w:color="auto" w:fill="auto"/>
      <w:spacing w:after="240"/>
      <w:outlineLvl w:val="2"/>
    </w:pPr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u w:val="none"/>
    </w:rPr>
  </w:style>
  <w:style w:type="paragraph" w:customStyle="1" w:styleId="Style21">
    <w:name w:val="Заголовок №1"/>
    <w:basedOn w:val="Normal"/>
    <w:link w:val="CharStyle22"/>
    <w:pPr>
      <w:widowControl w:val="0"/>
      <w:shd w:val="clear" w:color="auto" w:fill="auto"/>
      <w:spacing w:after="260"/>
      <w:ind w:firstLine="260"/>
      <w:outlineLvl w:val="0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42"/>
      <w:szCs w:val="42"/>
      <w:u w:val="none"/>
    </w:rPr>
  </w:style>
  <w:style w:type="paragraph" w:customStyle="1" w:styleId="Style27">
    <w:name w:val="Подпись к картинке"/>
    <w:basedOn w:val="Normal"/>
    <w:link w:val="CharStyle28"/>
    <w:pPr>
      <w:widowControl w:val="0"/>
      <w:shd w:val="clear" w:color="auto" w:fill="auto"/>
    </w:pPr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202020"/>
      <w:sz w:val="11"/>
      <w:szCs w:val="11"/>
      <w:u w:val="none"/>
    </w:rPr>
  </w:style>
  <w:style w:type="paragraph" w:customStyle="1" w:styleId="Style31">
    <w:name w:val="Основной текст (2)"/>
    <w:basedOn w:val="Normal"/>
    <w:link w:val="CharStyle32"/>
    <w:pPr>
      <w:widowControl w:val="0"/>
      <w:shd w:val="clear" w:color="auto" w:fill="auto"/>
      <w:ind w:left="3380"/>
    </w:pPr>
    <w:rPr>
      <w:rFonts w:ascii="Arial" w:eastAsia="Arial" w:hAnsi="Arial" w:cs="Arial"/>
      <w:b w:val="0"/>
      <w:bCs w:val="0"/>
      <w:i w:val="0"/>
      <w:iCs w:val="0"/>
      <w:smallCaps w:val="0"/>
      <w:strike w:val="0"/>
      <w:color w:val="656565"/>
      <w:sz w:val="12"/>
      <w:szCs w:val="12"/>
      <w:u w:val="none"/>
    </w:rPr>
  </w:style>
  <w:style w:type="paragraph" w:customStyle="1" w:styleId="Style38">
    <w:name w:val="Основной текст (4)"/>
    <w:basedOn w:val="Normal"/>
    <w:link w:val="CharStyle39"/>
    <w:pPr>
      <w:widowControl w:val="0"/>
      <w:shd w:val="clear" w:color="auto" w:fill="auto"/>
      <w:spacing w:after="100"/>
      <w:jc w:val="center"/>
    </w:pPr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E7E7E7"/>
      <w:sz w:val="11"/>
      <w:szCs w:val="11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footer" Target="footer1.xml"/><Relationship Id="rId6" Type="http://schemas.openxmlformats.org/officeDocument/2006/relationships/footer" Target="footer2.xml"/><Relationship Id="rId7" Type="http://schemas.openxmlformats.org/officeDocument/2006/relationships/footer" Target="footer3.xml"/><Relationship Id="rId8" Type="http://schemas.openxmlformats.org/officeDocument/2006/relationships/image" Target="media/image1.jpeg"/><Relationship Id="rId9" Type="http://schemas.openxmlformats.org/officeDocument/2006/relationships/image" Target="media/image1.jpeg" TargetMode="External"/><Relationship Id="rId10" Type="http://schemas.openxmlformats.org/officeDocument/2006/relationships/image" Target="media/image2.jpeg"/><Relationship Id="rId11" Type="http://schemas.openxmlformats.org/officeDocument/2006/relationships/image" Target="media/image2.jpeg" TargetMode="External"/><Relationship Id="rId12" Type="http://schemas.openxmlformats.org/officeDocument/2006/relationships/image" Target="media/image3.jpeg"/><Relationship Id="rId13" Type="http://schemas.openxmlformats.org/officeDocument/2006/relationships/image" Target="media/image3.jpeg" TargetMode="External"/><Relationship Id="rId14" Type="http://schemas.openxmlformats.org/officeDocument/2006/relationships/footer" Target="footer4.xml"/></Relationships>
</file>