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9"/>
        <w:keepNext w:val="0"/>
        <w:keepLines w:val="0"/>
        <w:widowControl w:val="0"/>
        <w:shd w:val="clear" w:color="auto" w:fill="auto"/>
        <w:tabs>
          <w:tab w:pos="1843" w:val="left"/>
          <w:tab w:pos="2558" w:val="left"/>
        </w:tabs>
        <w:bidi w:val="0"/>
        <w:spacing w:before="0" w:after="20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28.03.2024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12145/24</w:t>
      </w:r>
    </w:p>
    <w:p>
      <w:pPr>
        <w:widowControl w:val="0"/>
        <w:jc w:val="center"/>
        <w:rPr>
          <w:sz w:val="2"/>
          <w:szCs w:val="2"/>
        </w:rPr>
      </w:pPr>
      <w:r>
        <w:drawing>
          <wp:inline>
            <wp:extent cx="2597150" cy="70104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ext cx="2597150" cy="701040"/>
                    </a:xfrm>
                    <a:prstGeom prst="rect"/>
                  </pic:spPr>
                </pic:pic>
              </a:graphicData>
            </a:graphic>
          </wp:inline>
        </w:drawing>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 ДО Московская академия фигурного катания на коньках</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88Ъ2_то88роГ@тай.ги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Тендерный комитет</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то81епдег@то8.гн</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«Мегаинжсервис»</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813" w:bottom="708" w:left="1265" w:header="0" w:footer="3" w:gutter="0"/>
          <w:cols w:num="2" w:space="1283"/>
          <w:noEndnote/>
          <w:rtlGutter w:val="0"/>
          <w:docGrid w:linePitch="360"/>
        </w:sectPr>
      </w:pPr>
      <w:r>
        <w:rPr>
          <w:color w:val="000000"/>
          <w:spacing w:val="0"/>
          <w:w w:val="100"/>
          <w:position w:val="0"/>
          <w:shd w:val="clear" w:color="auto" w:fill="auto"/>
          <w:lang w:val="ru-RU" w:eastAsia="ru-RU" w:bidi="ru-RU"/>
        </w:rPr>
        <w:t>тедатх@тЪох.ги</w:t>
      </w:r>
    </w:p>
    <w:p>
      <w:pPr>
        <w:widowControl w:val="0"/>
        <w:spacing w:before="30" w:after="3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56" w:right="0" w:bottom="1044" w:left="0" w:header="0" w:footer="3" w:gutter="0"/>
          <w:cols w:space="720"/>
          <w:noEndnote/>
          <w:rtlGutter w:val="0"/>
          <w:docGrid w:linePitch="360"/>
        </w:sectPr>
      </w:pPr>
    </w:p>
    <w:p>
      <w:pPr>
        <w:pStyle w:val="Style17"/>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077/06/106-3741/2024 о нарушении</w:t>
        <w:br/>
        <w:t>законодательства о контрактной системе</w:t>
      </w:r>
    </w:p>
    <w:p>
      <w:pPr>
        <w:pStyle w:val="Style9"/>
        <w:keepNext w:val="0"/>
        <w:keepLines w:val="0"/>
        <w:widowControl w:val="0"/>
        <w:shd w:val="clear" w:color="auto" w:fill="auto"/>
        <w:tabs>
          <w:tab w:pos="8952"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25.03.2024</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ГБУ ДО Московская академия фигурного катания на коньках: Е.С. Андрющенко (доверенность от 22.03.2024 № 2), М.И. Николаевой (доверенность от 09.01.2024 № 1),</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Тендерного комитета: Д.Ф. Гильмановой (доверенность от 19.03.2024 № 77-13-1/24-23),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«Мегаинжсервис» о времени и порядке заседания Комиссии Управления уведомленных надлежащим образом Московским УФАС России,</w:t>
      </w:r>
    </w:p>
    <w:p>
      <w:pPr>
        <w:pStyle w:val="Style9"/>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 xml:space="preserve">рассмотрев жалобу ООО «Мегаинжсервис» (далее — Заявитель) на действия ГБУ ДО «Московская академия фигурного катания на коньках» при проведении открытого конкурса в электронной форме на право заключения государственного контракта на оказание услуг эксплуатационного обслуживания здания спортивной направленности «Ледовый дворец» по адресу: г. Москва, Новоясеневский проспект, </w:t>
      </w:r>
      <w:r>
        <w:rPr>
          <w:color w:val="000000"/>
          <w:spacing w:val="0"/>
          <w:w w:val="100"/>
          <w:position w:val="0"/>
          <w:shd w:val="clear" w:color="auto" w:fill="auto"/>
          <w:lang w:val="ru-RU" w:eastAsia="ru-RU" w:bidi="ru-RU"/>
        </w:rPr>
        <w:t>дом 26 (Закупка № 0173200001424000185)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after="616" w:line="1" w:lineRule="exact"/>
      </w:pPr>
      <w:r>
        <w:drawing>
          <wp:anchor distT="0" distB="0" distL="0" distR="0" simplePos="0" relativeHeight="62914697" behindDoc="1" locked="0" layoutInCell="1" allowOverlap="1">
            <wp:simplePos x="0" y="0"/>
            <wp:positionH relativeFrom="page">
              <wp:posOffset>717550</wp:posOffset>
            </wp:positionH>
            <wp:positionV relativeFrom="paragraph">
              <wp:posOffset>101600</wp:posOffset>
            </wp:positionV>
            <wp:extent cx="1511935" cy="29273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на установление Заказчиком неправомерного порядка оценки заявок участников закупки по критерию «Квалификация участников закупки, характеристика квалификации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участников закупки заказчик использует следующие критерии:</w:t>
      </w:r>
    </w:p>
    <w:p>
      <w:pPr>
        <w:pStyle w:val="Style9"/>
        <w:keepNext w:val="0"/>
        <w:keepLines w:val="0"/>
        <w:widowControl w:val="0"/>
        <w:numPr>
          <w:ilvl w:val="0"/>
          <w:numId w:val="1"/>
        </w:numPr>
        <w:shd w:val="clear" w:color="auto" w:fill="auto"/>
        <w:tabs>
          <w:tab w:pos="10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9"/>
        <w:keepNext w:val="0"/>
        <w:keepLines w:val="0"/>
        <w:widowControl w:val="0"/>
        <w:numPr>
          <w:ilvl w:val="0"/>
          <w:numId w:val="1"/>
        </w:numPr>
        <w:shd w:val="clear" w:color="auto" w:fill="auto"/>
        <w:tabs>
          <w:tab w:pos="108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9"/>
        <w:keepNext w:val="0"/>
        <w:keepLines w:val="0"/>
        <w:widowControl w:val="0"/>
        <w:numPr>
          <w:ilvl w:val="0"/>
          <w:numId w:val="1"/>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9"/>
        <w:keepNext w:val="0"/>
        <w:keepLines w:val="0"/>
        <w:widowControl w:val="0"/>
        <w:numPr>
          <w:ilvl w:val="0"/>
          <w:numId w:val="1"/>
        </w:numPr>
        <w:shd w:val="clear" w:color="auto" w:fill="auto"/>
        <w:tabs>
          <w:tab w:pos="108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 алификации.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9"/>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Абз.1 п.1 Постановления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Положения для оценки заявок в соответствии с настоящим Положением применяются следующие критерии оценки:</w:t>
      </w:r>
    </w:p>
    <w:p>
      <w:pPr>
        <w:pStyle w:val="Style9"/>
        <w:keepNext w:val="0"/>
        <w:keepLines w:val="0"/>
        <w:widowControl w:val="0"/>
        <w:numPr>
          <w:ilvl w:val="0"/>
          <w:numId w:val="3"/>
        </w:numPr>
        <w:shd w:val="clear" w:color="auto" w:fill="auto"/>
        <w:tabs>
          <w:tab w:pos="11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9"/>
        <w:keepNext w:val="0"/>
        <w:keepLines w:val="0"/>
        <w:widowControl w:val="0"/>
        <w:numPr>
          <w:ilvl w:val="0"/>
          <w:numId w:val="3"/>
        </w:numPr>
        <w:shd w:val="clear" w:color="auto" w:fill="auto"/>
        <w:tabs>
          <w:tab w:pos="11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w:t>
      </w:r>
    </w:p>
    <w:p>
      <w:pPr>
        <w:pStyle w:val="Style9"/>
        <w:keepNext w:val="0"/>
        <w:keepLines w:val="0"/>
        <w:widowControl w:val="0"/>
        <w:numPr>
          <w:ilvl w:val="0"/>
          <w:numId w:val="3"/>
        </w:numPr>
        <w:shd w:val="clear" w:color="auto" w:fill="auto"/>
        <w:tabs>
          <w:tab w:pos="11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характеристики объекта закупки;</w:t>
      </w:r>
    </w:p>
    <w:p>
      <w:pPr>
        <w:pStyle w:val="Style9"/>
        <w:keepNext w:val="0"/>
        <w:keepLines w:val="0"/>
        <w:widowControl w:val="0"/>
        <w:numPr>
          <w:ilvl w:val="0"/>
          <w:numId w:val="3"/>
        </w:numPr>
        <w:shd w:val="clear" w:color="auto" w:fill="auto"/>
        <w:tabs>
          <w:tab w:pos="10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9"/>
        <w:keepNext w:val="0"/>
        <w:keepLines w:val="0"/>
        <w:widowControl w:val="0"/>
        <w:numPr>
          <w:ilvl w:val="0"/>
          <w:numId w:val="5"/>
        </w:numPr>
        <w:shd w:val="clear" w:color="auto" w:fill="auto"/>
        <w:tabs>
          <w:tab w:pos="11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9"/>
        <w:keepNext w:val="0"/>
        <w:keepLines w:val="0"/>
        <w:widowControl w:val="0"/>
        <w:numPr>
          <w:ilvl w:val="0"/>
          <w:numId w:val="5"/>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9"/>
        <w:keepNext w:val="0"/>
        <w:keepLines w:val="0"/>
        <w:widowControl w:val="0"/>
        <w:numPr>
          <w:ilvl w:val="0"/>
          <w:numId w:val="5"/>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9"/>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9"/>
        <w:keepNext w:val="0"/>
        <w:keepLines w:val="0"/>
        <w:widowControl w:val="0"/>
        <w:numPr>
          <w:ilvl w:val="0"/>
          <w:numId w:val="5"/>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9"/>
        <w:keepNext w:val="0"/>
        <w:keepLines w:val="0"/>
        <w:widowControl w:val="0"/>
        <w:numPr>
          <w:ilvl w:val="0"/>
          <w:numId w:val="5"/>
        </w:numPr>
        <w:shd w:val="clear" w:color="auto" w:fill="auto"/>
        <w:tabs>
          <w:tab w:pos="11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щая цена исполненных участником закупки договоров;</w:t>
      </w:r>
    </w:p>
    <w:p>
      <w:pPr>
        <w:pStyle w:val="Style9"/>
        <w:keepNext w:val="0"/>
        <w:keepLines w:val="0"/>
        <w:widowControl w:val="0"/>
        <w:numPr>
          <w:ilvl w:val="0"/>
          <w:numId w:val="5"/>
        </w:numPr>
        <w:shd w:val="clear" w:color="auto" w:fill="auto"/>
        <w:tabs>
          <w:tab w:pos="11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щее количество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Комиссией Управления определено, что согласно извещению о проведении открытого конкурса в электронной форме от 04.03.2024 № 0173200001424000185 Заказчиком установлен в том числе следующий порядок оценки заявок по </w:t>
      </w:r>
      <w:r>
        <w:rPr>
          <w:color w:val="000000"/>
          <w:spacing w:val="0"/>
          <w:w w:val="100"/>
          <w:position w:val="0"/>
          <w:shd w:val="clear" w:color="auto" w:fill="auto"/>
          <w:lang w:val="ru-RU" w:eastAsia="ru-RU" w:bidi="ru-RU"/>
        </w:rPr>
        <w:t>показателю «Наличие у участников закупки опыта поставки товара, выполнения работы, оказания услуги, связанного с предметом контракта» критерия «Квалификация участников закупки, характеристика квалификации участников закупки»:</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w:t>
      </w:r>
      <w:r>
        <w:rPr>
          <w:b/>
          <w:bCs/>
          <w:i/>
          <w:iCs/>
          <w:color w:val="000000"/>
          <w:spacing w:val="0"/>
          <w:w w:val="100"/>
          <w:position w:val="0"/>
          <w:shd w:val="clear" w:color="auto" w:fill="auto"/>
          <w:lang w:val="ru-RU" w:eastAsia="ru-RU" w:bidi="ru-RU"/>
        </w:rPr>
        <w:t>Характеристика квалификации участников закупки (общая цена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Оценка заявок по критерию оценки «Квалификация участников закупки, характеристика квалификации участников закупки (общая цена исполненных участником закупки договоров)» осуществляется в порядке, установленном пунктами 20 - 23 раздела IV Положения для оценки заявок по критерию оценки «Характеристики объекта закупки».</w:t>
      </w:r>
    </w:p>
    <w:p>
      <w:pPr>
        <w:pStyle w:val="Style9"/>
        <w:keepNext w:val="0"/>
        <w:keepLines w:val="0"/>
        <w:widowControl w:val="0"/>
        <w:shd w:val="clear" w:color="auto" w:fill="auto"/>
        <w:tabs>
          <w:tab w:pos="8309" w:val="left"/>
        </w:tabs>
        <w:bidi w:val="0"/>
        <w:spacing w:before="0" w:after="0" w:line="360" w:lineRule="auto"/>
        <w:ind w:left="0" w:right="0" w:firstLine="740"/>
        <w:jc w:val="both"/>
      </w:pPr>
      <w:r>
        <w:rPr>
          <w:i/>
          <w:iCs/>
          <w:color w:val="000000"/>
          <w:spacing w:val="0"/>
          <w:w w:val="100"/>
          <w:position w:val="0"/>
          <w:shd w:val="clear" w:color="auto" w:fill="auto"/>
          <w:lang w:val="ru-RU" w:eastAsia="ru-RU" w:bidi="ru-RU"/>
        </w:rPr>
        <w:t>Лучшим для заказчика является наибольшее значение квалификации участника закупки и установлено предельное максимальное значение ) '■</w:t>
        <w:tab/>
        <w:t>) квалификации</w:t>
      </w:r>
    </w:p>
    <w:p>
      <w:pPr>
        <w:pStyle w:val="Style9"/>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ru-RU" w:eastAsia="ru-RU" w:bidi="ru-RU"/>
        </w:rPr>
        <w:t>участника закупки.</w:t>
      </w:r>
    </w:p>
    <w:p>
      <w:pPr>
        <w:pStyle w:val="Style9"/>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hd w:val="clear" w:color="auto" w:fill="auto"/>
          <w:lang w:val="ru-RU" w:eastAsia="ru-RU" w:bidi="ru-RU"/>
        </w:rPr>
        <w:t>Значение количества баллов по детализирующему показателю, присваиваемых заявке, подлежащей оценке по критерию оценки «квалификация участников закупки» (БХ1), рассчитывается по формуле:</w:t>
      </w:r>
    </w:p>
    <w:p>
      <w:pPr>
        <w:pStyle w:val="Style9"/>
        <w:keepNext w:val="0"/>
        <w:keepLines w:val="0"/>
        <w:widowControl w:val="0"/>
        <w:shd w:val="clear" w:color="auto" w:fill="auto"/>
        <w:tabs>
          <w:tab w:pos="3346" w:val="left"/>
        </w:tabs>
        <w:bidi w:val="0"/>
        <w:spacing w:before="0" w:after="0" w:line="240" w:lineRule="auto"/>
        <w:ind w:left="0" w:right="0" w:firstLine="0"/>
        <w:jc w:val="center"/>
        <w:rPr>
          <w:sz w:val="44"/>
          <w:szCs w:val="44"/>
        </w:rPr>
      </w:pPr>
      <w:r>
        <w:rPr>
          <w:color w:val="292929"/>
          <w:spacing w:val="0"/>
          <w:w w:val="100"/>
          <w:position w:val="0"/>
          <w:sz w:val="28"/>
          <w:szCs w:val="28"/>
          <w:shd w:val="clear" w:color="auto" w:fill="auto"/>
          <w:lang w:val="ru-RU" w:eastAsia="ru-RU" w:bidi="ru-RU"/>
        </w:rPr>
        <w:t xml:space="preserve">БХ, </w:t>
      </w:r>
      <w:r>
        <w:rPr>
          <w:color w:val="8B8A8B"/>
          <w:spacing w:val="0"/>
          <w:w w:val="100"/>
          <w:position w:val="0"/>
          <w:sz w:val="28"/>
          <w:szCs w:val="28"/>
          <w:shd w:val="clear" w:color="auto" w:fill="auto"/>
          <w:lang w:val="ru-RU" w:eastAsia="ru-RU" w:bidi="ru-RU"/>
        </w:rPr>
        <w:t xml:space="preserve">= </w:t>
      </w:r>
      <w:r>
        <w:rPr>
          <w:color w:val="4A484A"/>
          <w:spacing w:val="0"/>
          <w:w w:val="100"/>
          <w:position w:val="0"/>
          <w:sz w:val="28"/>
          <w:szCs w:val="28"/>
          <w:shd w:val="clear" w:color="auto" w:fill="auto"/>
          <w:lang w:val="ru-RU" w:eastAsia="ru-RU" w:bidi="ru-RU"/>
        </w:rPr>
        <w:t xml:space="preserve">(Х,-Х„„)х </w:t>
      </w:r>
      <w:r>
        <w:rPr>
          <w:strike/>
          <w:color w:val="4A484A"/>
          <w:spacing w:val="0"/>
          <w:w w:val="100"/>
          <w:position w:val="0"/>
          <w:sz w:val="44"/>
          <w:szCs w:val="44"/>
          <w:shd w:val="clear" w:color="auto" w:fill="auto"/>
          <w:lang w:val="ru-RU" w:eastAsia="ru-RU" w:bidi="ru-RU"/>
        </w:rPr>
        <w:t>Д</w:t>
      </w:r>
      <w:r>
        <w:rPr>
          <w:strike/>
          <w:color w:val="4A484A"/>
          <w:spacing w:val="0"/>
          <w:w w:val="100"/>
          <w:position w:val="0"/>
          <w:sz w:val="44"/>
          <w:szCs w:val="44"/>
          <w:shd w:val="clear" w:color="auto" w:fill="auto"/>
          <w:vertAlign w:val="superscript"/>
          <w:lang w:val="ru-RU" w:eastAsia="ru-RU" w:bidi="ru-RU"/>
        </w:rPr>
        <w:t>00</w:t>
      </w:r>
      <w:r>
        <w:rPr>
          <w:strike/>
          <w:color w:val="4A484A"/>
          <w:spacing w:val="0"/>
          <w:w w:val="100"/>
          <w:position w:val="0"/>
          <w:sz w:val="44"/>
          <w:szCs w:val="44"/>
          <w:shd w:val="clear" w:color="auto" w:fill="auto"/>
          <w:lang w:val="ru-RU" w:eastAsia="ru-RU" w:bidi="ru-RU"/>
        </w:rPr>
        <w:tab/>
        <w:t>:</w:t>
      </w:r>
    </w:p>
    <w:p>
      <w:pPr>
        <w:pStyle w:val="Style27"/>
        <w:keepNext w:val="0"/>
        <w:keepLines w:val="0"/>
        <w:widowControl w:val="0"/>
        <w:shd w:val="clear" w:color="auto" w:fill="auto"/>
        <w:bidi w:val="0"/>
        <w:spacing w:before="0" w:after="140" w:line="240" w:lineRule="auto"/>
        <w:ind w:left="5440" w:right="0" w:firstLine="0"/>
        <w:jc w:val="left"/>
      </w:pPr>
      <w:r>
        <w:rPr>
          <w:color w:val="292929"/>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ТГ-Зл </w:t>
      </w:r>
      <w:r>
        <w:rPr>
          <w:color w:val="292929"/>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ПИП</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Х1 - значение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участника закупки»;</w:t>
      </w:r>
    </w:p>
    <w:p>
      <w:pPr>
        <w:pStyle w:val="Style9"/>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hd w:val="clear" w:color="auto" w:fill="auto"/>
          <w:lang w:val="ru-RU" w:eastAsia="ru-RU" w:bidi="ru-RU"/>
        </w:rPr>
        <w:t>Хтт - минимальное значение квалификации участника закупки,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pStyle w:val="Style27"/>
        <w:keepNext w:val="0"/>
        <w:framePr w:dropCap="drop" w:hAnchor="text" w:lines="2" w:vAnchor="text" w:hSpace="734" w:vSpace="734"/>
        <w:widowControl w:val="0"/>
        <w:shd w:val="clear" w:color="auto" w:fill="auto"/>
        <w:spacing w:before="0" w:line="87" w:lineRule="exact"/>
        <w:ind w:left="0" w:firstLine="0"/>
      </w:pPr>
      <w:r>
        <w:rPr>
          <w:rFonts w:ascii="Arial" w:eastAsia="Arial" w:hAnsi="Arial" w:cs="Arial"/>
          <w:color w:val="000000"/>
          <w:spacing w:val="0"/>
          <w:w w:val="100"/>
          <w:position w:val="-2"/>
          <w:sz w:val="9"/>
          <w:szCs w:val="9"/>
          <w:shd w:val="clear" w:color="auto" w:fill="auto"/>
          <w:lang w:val="ru-RU" w:eastAsia="ru-RU" w:bidi="ru-RU"/>
        </w:rPr>
        <w:t>|</w:t>
      </w:r>
    </w:p>
    <w:p>
      <w:pPr>
        <w:pStyle w:val="Style27"/>
        <w:keepNext w:val="0"/>
        <w:keepLines w:val="0"/>
        <w:widowControl w:val="0"/>
        <w:shd w:val="clear" w:color="auto" w:fill="auto"/>
        <w:bidi w:val="0"/>
        <w:spacing w:before="0" w:after="0" w:line="240" w:lineRule="auto"/>
        <w:ind w:left="0" w:right="0" w:firstLine="0"/>
        <w:jc w:val="left"/>
      </w:pPr>
      <w:r>
        <w:rPr>
          <w:color w:val="532521"/>
          <w:spacing w:val="0"/>
          <w:w w:val="100"/>
          <w:position w:val="0"/>
          <w:shd w:val="clear" w:color="auto" w:fill="auto"/>
          <w:lang w:val="ru-RU" w:eastAsia="ru-RU" w:bidi="ru-RU"/>
        </w:rPr>
        <w:t>( х</w:t>
      </w:r>
      <w:r>
        <w:rPr>
          <w:color w:val="532521"/>
          <w:spacing w:val="0"/>
          <w:w w:val="100"/>
          <w:position w:val="0"/>
          <w:shd w:val="clear" w:color="auto" w:fill="auto"/>
          <w:vertAlign w:val="superscript"/>
          <w:lang w:val="ru-RU" w:eastAsia="ru-RU" w:bidi="ru-RU"/>
        </w:rPr>
        <w:t>през</w:t>
      </w:r>
      <w:r>
        <w:rPr>
          <w:color w:val="532521"/>
          <w:spacing w:val="0"/>
          <w:w w:val="100"/>
          <w:position w:val="0"/>
          <w:shd w:val="clear" w:color="auto" w:fill="auto"/>
          <w:lang w:val="ru-RU" w:eastAsia="ru-RU" w:bidi="ru-RU"/>
        </w:rPr>
        <w:t>)</w:t>
      </w:r>
    </w:p>
    <w:p>
      <w:pPr>
        <w:pStyle w:val="Style9"/>
        <w:keepNext w:val="0"/>
        <w:keepLines w:val="0"/>
        <w:widowControl w:val="0"/>
        <w:shd w:val="clear" w:color="auto" w:fill="auto"/>
        <w:tabs>
          <w:tab w:pos="892" w:val="left"/>
        </w:tabs>
        <w:bidi w:val="0"/>
        <w:spacing w:before="0" w:after="0" w:line="240" w:lineRule="auto"/>
        <w:ind w:left="0" w:right="0" w:firstLine="340"/>
        <w:jc w:val="both"/>
      </w:pPr>
      <w:r>
        <w:rPr>
          <w:i/>
          <w:iCs/>
          <w:color w:val="000000"/>
          <w:spacing w:val="0"/>
          <w:w w:val="100"/>
          <w:position w:val="0"/>
          <w:shd w:val="clear" w:color="auto" w:fill="auto"/>
          <w:lang w:val="ru-RU" w:eastAsia="ru-RU" w:bidi="ru-RU"/>
        </w:rPr>
        <w:t>’</w:t>
        <w:tab/>
        <w:t>- предельное максимальное значение квалификации участника закупки,</w:t>
      </w:r>
    </w:p>
    <w:p>
      <w:pPr>
        <w:pStyle w:val="Style9"/>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установленное заказчиком и определено в размере 638 000 000 ,00 рублей, который рассчитывается по формуле</w:t>
      </w:r>
    </w:p>
    <w:p>
      <w:pPr>
        <w:pStyle w:val="Style9"/>
        <w:keepNext w:val="0"/>
        <w:keepLines w:val="0"/>
        <w:widowControl w:val="0"/>
        <w:shd w:val="clear" w:color="auto" w:fill="auto"/>
        <w:bidi w:val="0"/>
        <w:spacing w:before="0" w:after="140" w:line="240" w:lineRule="auto"/>
        <w:ind w:left="0" w:right="0" w:firstLine="0"/>
        <w:jc w:val="left"/>
      </w:pPr>
      <w:r>
        <w:rPr>
          <w:i/>
          <w:iCs/>
          <w:color w:val="000000"/>
          <w:spacing w:val="0"/>
          <w:w w:val="100"/>
          <w:position w:val="0"/>
          <w:shd w:val="clear" w:color="auto" w:fill="auto"/>
          <w:lang w:val="ru-RU" w:eastAsia="ru-RU" w:bidi="ru-RU"/>
        </w:rPr>
        <w:t>Сп=К *1 000 000, где:</w:t>
      </w:r>
    </w:p>
    <w:p>
      <w:pPr>
        <w:pStyle w:val="Style9"/>
        <w:keepNext w:val="0"/>
        <w:keepLines w:val="0"/>
        <w:widowControl w:val="0"/>
        <w:shd w:val="clear" w:color="auto" w:fill="auto"/>
        <w:bidi w:val="0"/>
        <w:spacing w:before="0" w:after="140" w:line="257" w:lineRule="auto"/>
        <w:ind w:left="0" w:right="0" w:firstLine="0"/>
        <w:jc w:val="left"/>
      </w:pPr>
      <w:r>
        <w:rPr>
          <w:i/>
          <w:iCs/>
          <w:color w:val="000000"/>
          <w:spacing w:val="0"/>
          <w:w w:val="100"/>
          <w:position w:val="0"/>
          <w:shd w:val="clear" w:color="auto" w:fill="auto"/>
          <w:lang w:val="ru-RU" w:eastAsia="ru-RU" w:bidi="ru-RU"/>
        </w:rPr>
        <w:t>Сп - предельное значение детализирующего показателя «общая цена исполненных участником закупки договоров»;</w:t>
      </w:r>
    </w:p>
    <w:p>
      <w:pPr>
        <w:pStyle w:val="Style9"/>
        <w:keepNext w:val="0"/>
        <w:keepLines w:val="0"/>
        <w:widowControl w:val="0"/>
        <w:shd w:val="clear" w:color="auto" w:fill="auto"/>
        <w:bidi w:val="0"/>
        <w:spacing w:before="0" w:after="140" w:line="257" w:lineRule="auto"/>
        <w:ind w:left="0" w:right="0" w:firstLine="0"/>
        <w:jc w:val="left"/>
      </w:pPr>
      <w:r>
        <w:rPr>
          <w:i/>
          <w:iCs/>
          <w:color w:val="000000"/>
          <w:spacing w:val="0"/>
          <w:w w:val="100"/>
          <w:position w:val="0"/>
          <w:shd w:val="clear" w:color="auto" w:fill="auto"/>
          <w:lang w:val="ru-RU" w:eastAsia="ru-RU" w:bidi="ru-RU"/>
        </w:rPr>
        <w:t>К - коэффициент определения детализирующего показателя «общая цена исполненных участником закупки договоров», округленный до целого числа, рассчитываемый по формуле:</w:t>
      </w:r>
    </w:p>
    <w:p>
      <w:pPr>
        <w:pStyle w:val="Style9"/>
        <w:keepNext w:val="0"/>
        <w:keepLines w:val="0"/>
        <w:widowControl w:val="0"/>
        <w:shd w:val="clear" w:color="auto" w:fill="auto"/>
        <w:bidi w:val="0"/>
        <w:spacing w:before="0" w:after="140" w:line="240" w:lineRule="auto"/>
        <w:ind w:left="0" w:right="0" w:firstLine="0"/>
        <w:jc w:val="left"/>
      </w:pPr>
      <w:r>
        <w:rPr>
          <w:i/>
          <w:iCs/>
          <w:color w:val="000000"/>
          <w:spacing w:val="0"/>
          <w:w w:val="100"/>
          <w:position w:val="0"/>
          <w:shd w:val="clear" w:color="auto" w:fill="auto"/>
          <w:lang w:val="ru-RU" w:eastAsia="ru-RU" w:bidi="ru-RU"/>
        </w:rPr>
        <w:t>К=(90*Н/1 000 000+4000)/49, где:</w:t>
      </w:r>
    </w:p>
    <w:p>
      <w:pPr>
        <w:pStyle w:val="Style9"/>
        <w:keepNext w:val="0"/>
        <w:keepLines w:val="0"/>
        <w:widowControl w:val="0"/>
        <w:shd w:val="clear" w:color="auto" w:fill="auto"/>
        <w:bidi w:val="0"/>
        <w:spacing w:before="0" w:after="140" w:line="240" w:lineRule="auto"/>
        <w:ind w:left="0" w:right="0" w:firstLine="0"/>
        <w:jc w:val="left"/>
      </w:pPr>
      <w:r>
        <w:rPr>
          <w:i/>
          <w:iCs/>
          <w:color w:val="000000"/>
          <w:spacing w:val="0"/>
          <w:w w:val="100"/>
          <w:position w:val="0"/>
          <w:shd w:val="clear" w:color="auto" w:fill="auto"/>
          <w:lang w:val="ru-RU" w:eastAsia="ru-RU" w:bidi="ru-RU"/>
        </w:rPr>
        <w:t>Н - НМЦК</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Если в предложении участника закупки содержится значение квалификации участника закупки, которое выше предельного максимального значения, то баллы по детализирующему показателю присваиваются в размере, предусмотренном для предельного максимального значения квалификации участника закупки.</w:t>
      </w:r>
    </w:p>
    <w:p>
      <w:pPr>
        <w:pStyle w:val="Style9"/>
        <w:keepNext w:val="0"/>
        <w:keepLines w:val="0"/>
        <w:widowControl w:val="0"/>
        <w:shd w:val="clear" w:color="auto" w:fill="auto"/>
        <w:bidi w:val="0"/>
        <w:spacing w:before="0" w:after="0" w:line="240" w:lineRule="auto"/>
        <w:ind w:left="0" w:right="0" w:firstLine="720"/>
        <w:jc w:val="both"/>
      </w:pPr>
      <w:r>
        <w:rPr>
          <w:b/>
          <w:bCs/>
          <w:i/>
          <w:iCs/>
          <w:color w:val="000000"/>
          <w:spacing w:val="0"/>
          <w:w w:val="100"/>
          <w:position w:val="0"/>
          <w:shd w:val="clear" w:color="auto" w:fill="auto"/>
          <w:lang w:val="ru-RU" w:eastAsia="ru-RU" w:bidi="ru-RU"/>
        </w:rPr>
        <w:t>Характеристика квалификации участников закупки (наибольшая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Оценка заявок по критерию оценки «Квалификация участников закупки, характеристика квалификации участников закупки (наибольшая цена одного из исполненных участником закупки договоров)» осуществляется в порядке, установленном пунктами 20 - 23 раздела IV Положения для оценки заявок по критерию оценки «Характеристики объекта закупки».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Лучшим для заказчика является наибольшее значение квалификации участника </w:t>
      </w:r>
      <w:r>
        <w:rPr>
          <w:i/>
          <w:iCs/>
          <w:color w:val="000000"/>
          <w:spacing w:val="0"/>
          <w:w w:val="100"/>
          <w:position w:val="0"/>
          <w:shd w:val="clear" w:color="auto" w:fill="auto"/>
          <w:lang w:val="ru-RU" w:eastAsia="ru-RU" w:bidi="ru-RU"/>
        </w:rPr>
        <w:t>закупки.</w:t>
      </w:r>
    </w:p>
    <w:p>
      <w:pPr>
        <w:pStyle w:val="Style9"/>
        <w:keepNext w:val="0"/>
        <w:keepLines w:val="0"/>
        <w:widowControl w:val="0"/>
        <w:shd w:val="clear" w:color="auto" w:fill="auto"/>
        <w:bidi w:val="0"/>
        <w:spacing w:before="0" w:after="220" w:line="240" w:lineRule="auto"/>
        <w:ind w:left="0" w:right="0" w:firstLine="720"/>
        <w:jc w:val="both"/>
      </w:pPr>
      <w:r>
        <w:rPr>
          <w:i/>
          <w:iCs/>
          <w:color w:val="000000"/>
          <w:spacing w:val="0"/>
          <w:w w:val="100"/>
          <w:position w:val="0"/>
          <w:shd w:val="clear" w:color="auto" w:fill="auto"/>
          <w:lang w:val="ru-RU" w:eastAsia="ru-RU" w:bidi="ru-RU"/>
        </w:rPr>
        <w:t>Значение количества баллов по детализирующему показателю, присваиваемых заявке, подлежащей оценке по критерию оценки "квалификация участников закупки" (БХ1), рассчитывается по формуле:</w:t>
      </w:r>
    </w:p>
    <w:p>
      <w:pPr>
        <w:pStyle w:val="Style9"/>
        <w:keepNext w:val="0"/>
        <w:keepLines w:val="0"/>
        <w:widowControl w:val="0"/>
        <w:shd w:val="clear" w:color="auto" w:fill="auto"/>
        <w:tabs>
          <w:tab w:pos="2227" w:val="left"/>
          <w:tab w:leader="hyphen" w:pos="3624" w:val="left"/>
        </w:tabs>
        <w:bidi w:val="0"/>
        <w:spacing w:before="0" w:after="0" w:line="240" w:lineRule="auto"/>
        <w:ind w:left="0" w:right="0" w:firstLine="0"/>
        <w:jc w:val="center"/>
        <w:rPr>
          <w:sz w:val="30"/>
          <w:szCs w:val="30"/>
        </w:rPr>
      </w:pPr>
      <w:r>
        <w:rPr>
          <w:color w:val="292929"/>
          <w:spacing w:val="0"/>
          <w:w w:val="100"/>
          <w:position w:val="0"/>
          <w:sz w:val="30"/>
          <w:szCs w:val="30"/>
          <w:shd w:val="clear" w:color="auto" w:fill="auto"/>
          <w:lang w:val="ru-RU" w:eastAsia="ru-RU" w:bidi="ru-RU"/>
        </w:rPr>
        <w:t xml:space="preserve">БХ=|Х—X </w:t>
      </w:r>
      <w:r>
        <w:rPr>
          <w:color w:val="4A484A"/>
          <w:spacing w:val="0"/>
          <w:w w:val="100"/>
          <w:position w:val="0"/>
          <w:sz w:val="30"/>
          <w:szCs w:val="30"/>
          <w:shd w:val="clear" w:color="auto" w:fill="auto"/>
          <w:lang w:val="ru-RU" w:eastAsia="ru-RU" w:bidi="ru-RU"/>
        </w:rPr>
        <w:t>■</w:t>
        <w:tab/>
      </w:r>
      <w:r>
        <w:rPr>
          <w:color w:val="000000"/>
          <w:spacing w:val="0"/>
          <w:w w:val="100"/>
          <w:position w:val="0"/>
          <w:sz w:val="30"/>
          <w:szCs w:val="30"/>
          <w:shd w:val="clear" w:color="auto" w:fill="auto"/>
          <w:lang w:val="ru-RU" w:eastAsia="ru-RU" w:bidi="ru-RU"/>
        </w:rPr>
        <w:tab/>
      </w:r>
    </w:p>
    <w:p>
      <w:pPr>
        <w:pStyle w:val="Style9"/>
        <w:keepNext w:val="0"/>
        <w:keepLines w:val="0"/>
        <w:widowControl w:val="0"/>
        <w:shd w:val="clear" w:color="auto" w:fill="auto"/>
        <w:tabs>
          <w:tab w:pos="893" w:val="left"/>
        </w:tabs>
        <w:bidi w:val="0"/>
        <w:spacing w:before="0" w:after="0" w:line="180" w:lineRule="auto"/>
        <w:ind w:left="0" w:right="0" w:firstLine="0"/>
        <w:jc w:val="center"/>
        <w:rPr>
          <w:sz w:val="26"/>
          <w:szCs w:val="26"/>
        </w:rPr>
      </w:pPr>
      <w:r>
        <w:rPr>
          <w:color w:val="4A484A"/>
          <w:spacing w:val="0"/>
          <w:w w:val="100"/>
          <w:position w:val="0"/>
          <w:sz w:val="26"/>
          <w:szCs w:val="26"/>
          <w:shd w:val="clear" w:color="auto" w:fill="auto"/>
          <w:vertAlign w:val="superscript"/>
          <w:lang w:val="ru-RU" w:eastAsia="ru-RU" w:bidi="ru-RU"/>
        </w:rPr>
        <w:t>г</w:t>
      </w:r>
      <w:r>
        <w:rPr>
          <w:color w:val="4A484A"/>
          <w:spacing w:val="0"/>
          <w:w w:val="100"/>
          <w:position w:val="0"/>
          <w:sz w:val="26"/>
          <w:szCs w:val="26"/>
          <w:shd w:val="clear" w:color="auto" w:fill="auto"/>
          <w:lang w:val="ru-RU" w:eastAsia="ru-RU" w:bidi="ru-RU"/>
        </w:rPr>
        <w:tab/>
        <w:t xml:space="preserve">ЧЪгая/ </w:t>
      </w:r>
      <w:r>
        <w:rPr>
          <w:color w:val="292929"/>
          <w:spacing w:val="0"/>
          <w:w w:val="100"/>
          <w:position w:val="0"/>
          <w:sz w:val="26"/>
          <w:szCs w:val="26"/>
          <w:shd w:val="clear" w:color="auto" w:fill="auto"/>
          <w:lang w:val="ru-RU" w:eastAsia="ru-RU" w:bidi="ru-RU"/>
        </w:rPr>
        <w:t>у _у</w:t>
      </w:r>
    </w:p>
    <w:p>
      <w:pPr>
        <w:pStyle w:val="Style9"/>
        <w:keepNext w:val="0"/>
        <w:keepLines w:val="0"/>
        <w:widowControl w:val="0"/>
        <w:shd w:val="clear" w:color="auto" w:fill="auto"/>
        <w:tabs>
          <w:tab w:leader="dot" w:pos="6462" w:val="left"/>
        </w:tabs>
        <w:bidi w:val="0"/>
        <w:spacing w:before="0" w:after="0" w:line="240" w:lineRule="auto"/>
        <w:ind w:left="6020" w:right="0" w:firstLine="0"/>
        <w:jc w:val="both"/>
      </w:pPr>
      <w:r>
        <w:rPr>
          <w:i/>
          <w:iCs/>
          <w:color w:val="000000"/>
          <w:spacing w:val="0"/>
          <w:w w:val="100"/>
          <w:position w:val="0"/>
          <w:shd w:val="clear" w:color="auto" w:fill="auto"/>
          <w:lang w:val="ru-RU" w:eastAsia="ru-RU" w:bidi="ru-RU"/>
        </w:rPr>
        <w:t>”</w:t>
        <w:tab/>
        <w:t xml:space="preserve"> , где:</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Х тах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«характеристики объекта </w:t>
      </w:r>
      <w:r>
        <w:rPr>
          <w:i/>
          <w:iCs/>
          <w:color w:val="000000"/>
          <w:spacing w:val="0"/>
          <w:w w:val="100"/>
          <w:position w:val="0"/>
          <w:shd w:val="clear" w:color="auto" w:fill="auto"/>
          <w:lang w:val="ru-RU" w:eastAsia="ru-RU" w:bidi="ru-RU"/>
        </w:rPr>
        <w:t>закупки»;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Х ^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«характеристики объекта закупки»;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Х тт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«характеристики объекта </w:t>
      </w:r>
      <w:r>
        <w:rPr>
          <w:i/>
          <w:iCs/>
          <w:color w:val="000000"/>
          <w:spacing w:val="0"/>
          <w:w w:val="100"/>
          <w:position w:val="0"/>
          <w:shd w:val="clear" w:color="auto" w:fill="auto"/>
          <w:lang w:val="ru-RU" w:eastAsia="ru-RU" w:bidi="ru-RU"/>
        </w:rPr>
        <w:t>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Заявителя отсутствовал, при этом согласно доводам жалобы Заявитель указывает, что Заказчиком в порядке рассмотрения и оценки заявок на участие в конкурсе применен излишний детализирующий показатель оценки, а именно «наибольшая цена одного из исполненных участником закупки договоров», поскольку в соответствии с утвержденным типовым порядком оценки, размещенном в базе знаний ЕАИСТ, для КПГЗ 03.07.01.01.02 Обслуживание техническое и текущий ремонт нежилых помещений и зданий, 03.07.01.01.03.03 обслуживание техническое и текущий ремонт инженерных коммуникаций в зданиях) предусмотрен только один детализирующий показатель оценки - «общая цена исполненных участником </w:t>
      </w:r>
      <w:r>
        <w:rPr>
          <w:color w:val="000000"/>
          <w:spacing w:val="0"/>
          <w:w w:val="100"/>
          <w:position w:val="0"/>
          <w:shd w:val="clear" w:color="auto" w:fill="auto"/>
          <w:lang w:val="ru-RU" w:eastAsia="ru-RU" w:bidi="ru-RU"/>
        </w:rPr>
        <w:t>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связи с принятием постановления Правительства Москвы от 21 ноября 2023 г. № 2265-ПП «О внесении изменений в постановления Правительства Москвы от 5 июля 2013 г. № 441-ПП и от 19 июля 2019 г. № 899-ПП» оценка заявок участников конкурса по критерию «квалификация участников закупки» с использованием показателя наличия у участников закупки опыта поставки товара осуществляется с применением детализирующего показателя «общая цена исполненных участником закупки договоров» с установлением предельного значения. Согласно п.7.23 Постановления Правительства Москвы от 19.07.2019 № 899-ПП (ред. от 21.11.2023) «О системе закупок города Москвы» (вместе с «Положением о системе закупок города Москвы», «Перечнем правовых актов (отдельных положений правовых актов) города Москвы, признаваемых утратившими силу») использование дополнительных детализирующих показателей оценки возможно только в случае наличия соответствующего решения заместителя Мэра Москвы в Правительстве Москвы, осуществляющего координацию деятельности заказчика из числа органов исполнительной власти города Москвы, при этом соответствующее решение заместителя Мэра Москвы в Правительстве Москвы по использованию дополнительных детализирующих показателей оценки получено Департаментом спорта города Москвы с пометкой «Согласовано» по средством ЭДО 21.12.2023 №22-22-1076/23-1.</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с целью определения квалифицированного Исполнителя, имеющего в т.ч. связанный опыт по исполнению аналогичных крупных контрактов, учитывая социальную значимость объекта закупки и высокую НМЦК по ней, Москомспорт согласовал применение дополнительного детализирующего показателя оценки заявок при осуществлении закупок, а именно: «Общая цена исполненных участником закупки договоров — 50%» и «Наибольшая цена одного из исполненных участником закупки договоров — 50%» согласно прилагаемому перечню.</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Комиссия Управления отмечает, что Заказчиком в соответствии с Постановлением Правительства Москвы от 19.07.2019 № 899-ПП «О системе закупок города Москвы» получено разрешение от заместителя Мэра Москвы в Правительстве Москвы по вопросам региональной безопасности и информационной политики (К № 22-22-1076/23-1 от 21.12.2023) об установлении дополнительных детализирующих показателей оценки заявок при осуществлении закупки, а именно: «общее количество исполненных участником закупки договоров» и «наибольшая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отмечает, что, вопреки доводам Заявителя, Заказчиком правомерно применен детализирующий показатель оценки «общая цена исполненных участником закупки договоров», что также не противоречит Положением для оценки заявок, предусмотренным Постановлением №2604.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на заседании Комиссии Управления, а также в составе жалобы Заявителем не представлено документов и сведений, свидетельствующих о невозможности формирования и подачи заявки,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об осуществлении закупок, 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довод Заявителя не нашел своего подтверждения и является необоснованным.</w:t>
      </w:r>
    </w:p>
    <w:p>
      <w:pPr>
        <w:pStyle w:val="Style9"/>
        <w:keepNext w:val="0"/>
        <w:keepLines w:val="0"/>
        <w:widowControl w:val="0"/>
        <w:numPr>
          <w:ilvl w:val="0"/>
          <w:numId w:val="7"/>
        </w:numPr>
        <w:shd w:val="clear" w:color="auto" w:fill="auto"/>
        <w:tabs>
          <w:tab w:pos="96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Также в составе жалобы Заявитель обжалует действия Заказчика относительно неправомерного формирования и обоснования начальной (максимальной) цены государственного контракта.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ч.3 ст.99 Закона о контрактной системе ФАС России осуществляет контроль в сфере закупок, за исключением контроля, предусмотренного ч. 5,8 и 10 ст.99 Закона о контрактной системе.</w:t>
      </w:r>
    </w:p>
    <w:p>
      <w:pPr>
        <w:pStyle w:val="Style9"/>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.8 ст.99 Закона о контрактной системе установлено, что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согласно ч.1 ст.18 Закона о контрактной системе обоснование начальной (максимальной) цены контракта осуществляется заказчиком при формировании плана-графика.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 ч.9 ст.99 Закона о контрактной системе контроль в сфере закупок в соответствии с ч.8 ст.99 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r>
        <w:br w:type="page"/>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рассмотрение жалоб участников закупок на предмет правомерности формирования и обоснования расчета начальной (максимальной) цены контракта не относится к компетенции Московского УФАС России.</w:t>
      </w:r>
    </w:p>
    <w:p>
      <w:pPr>
        <w:pStyle w:val="Style9"/>
        <w:keepNext w:val="0"/>
        <w:keepLines w:val="0"/>
        <w:widowControl w:val="0"/>
        <w:shd w:val="clear" w:color="auto" w:fill="auto"/>
        <w:bidi w:val="0"/>
        <w:spacing w:before="0" w:after="64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numPr>
          <w:ilvl w:val="0"/>
          <w:numId w:val="7"/>
        </w:numPr>
        <w:shd w:val="clear" w:color="auto" w:fill="auto"/>
        <w:tabs>
          <w:tab w:pos="9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«Мегаинжсервис» на действия ГБУ ДО Московская академия фигурного катания на коньках необоснованной.</w:t>
      </w:r>
    </w:p>
    <w:p>
      <w:pPr>
        <w:pStyle w:val="Style9"/>
        <w:keepNext w:val="0"/>
        <w:keepLines w:val="0"/>
        <w:widowControl w:val="0"/>
        <w:numPr>
          <w:ilvl w:val="0"/>
          <w:numId w:val="7"/>
        </w:numPr>
        <w:shd w:val="clear" w:color="auto" w:fill="auto"/>
        <w:tabs>
          <w:tab w:pos="102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.Доводы жалобы ООО «Мегаинжсервис» в части определения и обоснования начальной (максимальной) цены контракта оставить без рассмотрения на основании п.3 ч.8 ст.99 Закона о контрактной системе.</w:t>
      </w:r>
    </w:p>
    <w:p>
      <w:pPr>
        <w:pStyle w:val="Style9"/>
        <w:keepNext w:val="0"/>
        <w:keepLines w:val="0"/>
        <w:widowControl w:val="0"/>
        <w:numPr>
          <w:ilvl w:val="0"/>
          <w:numId w:val="7"/>
        </w:numPr>
        <w:shd w:val="clear" w:color="auto" w:fill="auto"/>
        <w:tabs>
          <w:tab w:pos="987" w:val="left"/>
        </w:tabs>
        <w:bidi w:val="0"/>
        <w:spacing w:before="0" w:after="300" w:line="240" w:lineRule="auto"/>
        <w:ind w:left="0" w:right="0" w:firstLine="700"/>
        <w:jc w:val="both"/>
      </w:pPr>
      <w:r>
        <w:rPr>
          <w:smallCaps/>
          <w:color w:val="000000"/>
          <w:spacing w:val="0"/>
          <w:w w:val="100"/>
          <w:position w:val="0"/>
          <w:shd w:val="clear" w:color="auto" w:fill="auto"/>
          <w:lang w:val="ru-RU" w:eastAsia="ru-RU" w:bidi="ru-RU"/>
        </w:rPr>
        <w:t>.Снять</w:t>
      </w:r>
      <w:r>
        <w:rPr>
          <w:color w:val="000000"/>
          <w:spacing w:val="0"/>
          <w:w w:val="100"/>
          <w:position w:val="0"/>
          <w:shd w:val="clear" w:color="auto" w:fill="auto"/>
          <w:lang w:val="ru-RU" w:eastAsia="ru-RU" w:bidi="ru-RU"/>
        </w:rPr>
        <w:t xml:space="preserve">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1156" w:right="530" w:bottom="1044" w:left="1088" w:header="0" w:footer="3" w:gutter="0"/>
          <w:cols w:space="720"/>
          <w:noEndnote/>
          <w:rtlGutter w:val="0"/>
          <w:docGrid w:linePitch="360"/>
        </w:sectPr>
      </w:pPr>
      <w:r>
        <mc:AlternateContent>
          <mc:Choice Requires="wps">
            <w:drawing>
              <wp:anchor distT="330200" distB="356235" distL="0" distR="0" simplePos="0" relativeHeight="125829378" behindDoc="0" locked="0" layoutInCell="1" allowOverlap="1">
                <wp:simplePos x="0" y="0"/>
                <wp:positionH relativeFrom="page">
                  <wp:posOffset>728980</wp:posOffset>
                </wp:positionH>
                <wp:positionV relativeFrom="paragraph">
                  <wp:posOffset>330200</wp:posOffset>
                </wp:positionV>
                <wp:extent cx="1850390" cy="250190"/>
                <wp:wrapTopAndBottom/>
                <wp:docPr id="12" name="Shape 12"/>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7.399999999999999pt;margin-top:26.pt;width:145.70000000000002pt;height:19.699999999999999pt;z-index:-125829375;mso-wrap-distance-left:0;mso-wrap-distance-top:26.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0" behindDoc="0" locked="0" layoutInCell="1" allowOverlap="1">
            <wp:simplePos x="0" y="0"/>
            <wp:positionH relativeFrom="page">
              <wp:posOffset>3067050</wp:posOffset>
            </wp:positionH>
            <wp:positionV relativeFrom="paragraph">
              <wp:posOffset>367030</wp:posOffset>
            </wp:positionV>
            <wp:extent cx="389890" cy="57277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3563620</wp:posOffset>
                </wp:positionH>
                <wp:positionV relativeFrom="paragraph">
                  <wp:posOffset>805815</wp:posOffset>
                </wp:positionV>
                <wp:extent cx="1280160" cy="100330"/>
                <wp:wrapNone/>
                <wp:docPr id="16" name="Shape 16"/>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80.60000000000002pt;margin-top:63.450000000000003pt;width:100.8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3517900</wp:posOffset>
                </wp:positionH>
                <wp:positionV relativeFrom="paragraph">
                  <wp:posOffset>492125</wp:posOffset>
                </wp:positionV>
                <wp:extent cx="1725295" cy="255905"/>
                <wp:wrapNone/>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pt;margin-top:38.75pt;width:135.84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1" behindDoc="0" locked="0" layoutInCell="1" allowOverlap="1">
                <wp:simplePos x="0" y="0"/>
                <wp:positionH relativeFrom="page">
                  <wp:posOffset>6178550</wp:posOffset>
                </wp:positionH>
                <wp:positionV relativeFrom="paragraph">
                  <wp:posOffset>330200</wp:posOffset>
                </wp:positionV>
                <wp:extent cx="1029970" cy="250190"/>
                <wp:wrapTopAndBottom/>
                <wp:docPr id="20" name="Shape 20"/>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6" type="#_x0000_t202" style="position:absolute;margin-left:486.5pt;margin-top:26.pt;width:81.100000000000009pt;height:19.699999999999999pt;z-index:-125829372;mso-wrap-distance-left:0;mso-wrap-distance-top:26.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37"/>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w:t>
      </w:r>
      <w:r>
        <w:rPr>
          <w:color w:val="4A484A"/>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3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A484A"/>
          <w:spacing w:val="0"/>
          <w:w w:val="100"/>
          <w:position w:val="0"/>
          <w:shd w:val="clear" w:color="auto" w:fill="auto"/>
          <w:lang w:val="ru-RU" w:eastAsia="ru-RU" w:bidi="ru-RU"/>
        </w:rPr>
        <w:t>00СА17306423В8С790А318061</w:t>
      </w:r>
      <w:r>
        <w:rPr>
          <w:spacing w:val="0"/>
          <w:w w:val="100"/>
          <w:position w:val="0"/>
          <w:shd w:val="clear" w:color="auto" w:fill="auto"/>
          <w:lang w:val="ru-RU" w:eastAsia="ru-RU" w:bidi="ru-RU"/>
        </w:rPr>
        <w:t>89СЭЕ338Е</w:t>
      </w:r>
    </w:p>
    <w:p>
      <w:pPr>
        <w:pStyle w:val="Style37"/>
        <w:keepNext w:val="0"/>
        <w:keepLines w:val="0"/>
        <w:widowControl w:val="0"/>
        <w:shd w:val="clear" w:color="auto" w:fill="auto"/>
        <w:bidi w:val="0"/>
        <w:spacing w:before="0" w:after="2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24.01.2023 по 18.04.2024</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20" w:line="240" w:lineRule="auto"/>
        <w:ind w:left="0" w:right="0" w:firstLine="660"/>
        <w:jc w:val="left"/>
      </w:pPr>
      <w:r>
        <w:drawing>
          <wp:anchor distT="0" distB="0" distL="114300" distR="1903730" simplePos="0" relativeHeight="125829383" behindDoc="0" locked="0" layoutInCell="1" allowOverlap="1">
            <wp:simplePos x="0" y="0"/>
            <wp:positionH relativeFrom="page">
              <wp:posOffset>3067050</wp:posOffset>
            </wp:positionH>
            <wp:positionV relativeFrom="paragraph">
              <wp:posOffset>25400</wp:posOffset>
            </wp:positionV>
            <wp:extent cx="389890" cy="57277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3563620</wp:posOffset>
                </wp:positionH>
                <wp:positionV relativeFrom="paragraph">
                  <wp:posOffset>464185</wp:posOffset>
                </wp:positionV>
                <wp:extent cx="1280160" cy="100330"/>
                <wp:wrapNone/>
                <wp:docPr id="24" name="Shape 2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b w:val="0"/>
                                <w:bCs w:val="0"/>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0" type="#_x0000_t202" style="position:absolute;margin-left:280.60000000000002pt;margin-top:36.550000000000004pt;width:100.8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b w:val="0"/>
                          <w:bCs w:val="0"/>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3517900</wp:posOffset>
                </wp:positionH>
                <wp:positionV relativeFrom="paragraph">
                  <wp:posOffset>153670</wp:posOffset>
                </wp:positionV>
                <wp:extent cx="1725295" cy="255905"/>
                <wp:wrapNone/>
                <wp:docPr id="26" name="Shape 2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pt;margin-top:12.1pt;width:135.84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37"/>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Рахматуллаев Алексей Ильич</w:t>
      </w:r>
    </w:p>
    <w:p>
      <w:pPr>
        <w:pStyle w:val="Style3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B8A8B"/>
          <w:spacing w:val="0"/>
          <w:w w:val="100"/>
          <w:position w:val="0"/>
          <w:shd w:val="clear" w:color="auto" w:fill="auto"/>
          <w:lang w:val="ru-RU" w:eastAsia="ru-RU" w:bidi="ru-RU"/>
        </w:rPr>
        <w:t>11</w:t>
      </w:r>
      <w:r>
        <w:rPr>
          <w:spacing w:val="0"/>
          <w:w w:val="100"/>
          <w:position w:val="0"/>
          <w:shd w:val="clear" w:color="auto" w:fill="auto"/>
          <w:lang w:val="ru-RU" w:eastAsia="ru-RU" w:bidi="ru-RU"/>
        </w:rPr>
        <w:t>ВЗВЭ45854ОЕВ6С993Е00602С0ЕВЕЕС</w:t>
      </w:r>
    </w:p>
    <w:p>
      <w:pPr>
        <w:pStyle w:val="Style37"/>
        <w:keepNext w:val="0"/>
        <w:keepLines w:val="0"/>
        <w:widowControl w:val="0"/>
        <w:shd w:val="clear" w:color="auto" w:fill="auto"/>
        <w:bidi w:val="0"/>
        <w:spacing w:before="0" w:after="28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07.09.2023 </w:t>
      </w:r>
      <w:r>
        <w:rPr>
          <w:color w:val="6A6A6A"/>
          <w:spacing w:val="0"/>
          <w:w w:val="100"/>
          <w:position w:val="0"/>
          <w:shd w:val="clear" w:color="auto" w:fill="auto"/>
          <w:lang w:val="ru-RU" w:eastAsia="ru-RU" w:bidi="ru-RU"/>
        </w:rPr>
        <w:t>по 30.11.2024</w:t>
      </w:r>
    </w:p>
    <w:p>
      <w:pPr>
        <w:pStyle w:val="Style9"/>
        <w:keepNext w:val="0"/>
        <w:keepLines w:val="0"/>
        <w:widowControl w:val="0"/>
        <w:shd w:val="clear" w:color="auto" w:fill="auto"/>
        <w:bidi w:val="0"/>
        <w:spacing w:before="0" w:after="370" w:line="240" w:lineRule="auto"/>
        <w:ind w:left="0" w:right="0" w:firstLine="880"/>
        <w:jc w:val="left"/>
      </w:pPr>
      <w:r>
        <w:drawing>
          <wp:anchor distT="0" distB="0" distL="114300" distR="1903730" simplePos="0" relativeHeight="125829384" behindDoc="0" locked="0" layoutInCell="1" allowOverlap="1">
            <wp:simplePos x="0" y="0"/>
            <wp:positionH relativeFrom="page">
              <wp:posOffset>3100070</wp:posOffset>
            </wp:positionH>
            <wp:positionV relativeFrom="paragraph">
              <wp:posOffset>63500</wp:posOffset>
            </wp:positionV>
            <wp:extent cx="353695" cy="39624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53695"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3517900</wp:posOffset>
                </wp:positionH>
                <wp:positionV relativeFrom="paragraph">
                  <wp:posOffset>154940</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pt;margin-top:12.200000000000001pt;width:135.84999999999999pt;height:20.15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4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7"/>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3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00923Э2А1Е2Е82694604ЕЕЕ7722Э2557ЕЕ</w:t>
      </w:r>
    </w:p>
    <w:p>
      <w:pPr>
        <w:pStyle w:val="Style37"/>
        <w:keepNext w:val="0"/>
        <w:keepLines w:val="0"/>
        <w:widowControl w:val="0"/>
        <w:shd w:val="clear" w:color="auto" w:fill="auto"/>
        <w:bidi w:val="0"/>
        <w:spacing w:before="0" w:after="76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05.12.2023 </w:t>
      </w:r>
      <w:r>
        <w:rPr>
          <w:color w:val="6A6A6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4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Е.Д.тел.(495)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724535</wp:posOffset>
              </wp:positionH>
              <wp:positionV relativeFrom="page">
                <wp:posOffset>10093960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2024-13716</w:t>
                          </w:r>
                        </w:p>
                      </w:txbxContent>
                    </wps:txbx>
                    <wps:bodyPr wrap="none" lIns="0" tIns="0" rIns="0" bIns="0">
                      <a:spAutoFit/>
                    </wps:bodyPr>
                  </wps:wsp>
                </a:graphicData>
              </a:graphic>
            </wp:anchor>
          </w:drawing>
        </mc:Choice>
        <mc:Fallback>
          <w:pict>
            <v:shape id="_x0000_s1031" type="#_x0000_t202" style="position:absolute;margin-left:57.050000000000004pt;margin-top:794.80000000000007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2024-13716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2024-13716</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2024-13716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3921760</wp:posOffset>
              </wp:positionH>
              <wp:positionV relativeFrom="page">
                <wp:posOffset>471805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80000000000001pt;margin-top:37.149999999999999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bCs/>
      <w:i w:val="0"/>
      <w:iCs w:val="0"/>
      <w:smallCaps w:val="0"/>
      <w:strike w:val="0"/>
      <w:color w:val="292929"/>
      <w:sz w:val="11"/>
      <w:szCs w:val="11"/>
      <w:u w:val="none"/>
    </w:rPr>
  </w:style>
  <w:style w:type="character" w:customStyle="1" w:styleId="CharStyle18">
    <w:name w:val="Заголовок №1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8">
    <w:name w:val="Основной текст (6)_"/>
    <w:basedOn w:val="DefaultParagraphFont"/>
    <w:link w:val="Style27"/>
    <w:rPr>
      <w:rFonts w:ascii="Times New Roman" w:eastAsia="Times New Roman" w:hAnsi="Times New Roman" w:cs="Times New Roman"/>
      <w:b/>
      <w:bCs/>
      <w:i w:val="0"/>
      <w:iCs w:val="0"/>
      <w:smallCaps w:val="0"/>
      <w:strike w:val="0"/>
      <w:color w:val="4A484A"/>
      <w:sz w:val="11"/>
      <w:szCs w:val="11"/>
      <w:u w:val="none"/>
    </w:rPr>
  </w:style>
  <w:style w:type="character" w:customStyle="1" w:styleId="CharStyle38">
    <w:name w:val="Основной текст (2)_"/>
    <w:basedOn w:val="DefaultParagraphFont"/>
    <w:link w:val="Style37"/>
    <w:rPr>
      <w:rFonts w:ascii="Arial" w:eastAsia="Arial" w:hAnsi="Arial" w:cs="Arial"/>
      <w:b w:val="0"/>
      <w:bCs w:val="0"/>
      <w:i w:val="0"/>
      <w:iCs w:val="0"/>
      <w:smallCaps w:val="0"/>
      <w:strike w:val="0"/>
      <w:color w:val="292929"/>
      <w:sz w:val="12"/>
      <w:szCs w:val="12"/>
      <w:u w:val="none"/>
    </w:rPr>
  </w:style>
  <w:style w:type="character" w:customStyle="1" w:styleId="CharStyle44">
    <w:name w:val="Основной текст (5)_"/>
    <w:basedOn w:val="DefaultParagraphFont"/>
    <w:link w:val="Style43"/>
    <w:rPr>
      <w:rFonts w:ascii="Georgia" w:eastAsia="Georgia" w:hAnsi="Georgia" w:cs="Georgia"/>
      <w:b w:val="0"/>
      <w:bCs w:val="0"/>
      <w:i w:val="0"/>
      <w:iCs w:val="0"/>
      <w:smallCaps w:val="0"/>
      <w:strike w:val="0"/>
      <w:color w:val="EAEAEA"/>
      <w:sz w:val="12"/>
      <w:szCs w:val="12"/>
      <w:u w:val="none"/>
    </w:rPr>
  </w:style>
  <w:style w:type="character" w:customStyle="1" w:styleId="CharStyle46">
    <w:name w:val="Основной текст (4)_"/>
    <w:basedOn w:val="DefaultParagraphFont"/>
    <w:link w:val="Style4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bCs/>
      <w:i w:val="0"/>
      <w:iCs w:val="0"/>
      <w:smallCaps w:val="0"/>
      <w:strike w:val="0"/>
      <w:color w:val="292929"/>
      <w:sz w:val="11"/>
      <w:szCs w:val="11"/>
      <w:u w:val="none"/>
    </w:rPr>
  </w:style>
  <w:style w:type="paragraph" w:customStyle="1" w:styleId="Style17">
    <w:name w:val="Заголовок №1"/>
    <w:basedOn w:val="Normal"/>
    <w:link w:val="CharStyle18"/>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7">
    <w:name w:val="Основной текст (6)"/>
    <w:basedOn w:val="Normal"/>
    <w:link w:val="CharStyle28"/>
    <w:pPr>
      <w:widowControl w:val="0"/>
      <w:shd w:val="clear" w:color="auto" w:fill="auto"/>
      <w:spacing w:after="70"/>
      <w:ind w:left="2720"/>
    </w:pPr>
    <w:rPr>
      <w:rFonts w:ascii="Times New Roman" w:eastAsia="Times New Roman" w:hAnsi="Times New Roman" w:cs="Times New Roman"/>
      <w:b/>
      <w:bCs/>
      <w:i w:val="0"/>
      <w:iCs w:val="0"/>
      <w:smallCaps w:val="0"/>
      <w:strike w:val="0"/>
      <w:color w:val="4A484A"/>
      <w:sz w:val="11"/>
      <w:szCs w:val="11"/>
      <w:u w:val="none"/>
    </w:rPr>
  </w:style>
  <w:style w:type="paragraph" w:customStyle="1" w:styleId="Style37">
    <w:name w:val="Основной текст (2)"/>
    <w:basedOn w:val="Normal"/>
    <w:link w:val="CharStyle38"/>
    <w:pPr>
      <w:widowControl w:val="0"/>
      <w:shd w:val="clear" w:color="auto" w:fill="auto"/>
      <w:ind w:left="3820"/>
    </w:pPr>
    <w:rPr>
      <w:rFonts w:ascii="Arial" w:eastAsia="Arial" w:hAnsi="Arial" w:cs="Arial"/>
      <w:b w:val="0"/>
      <w:bCs w:val="0"/>
      <w:i w:val="0"/>
      <w:iCs w:val="0"/>
      <w:smallCaps w:val="0"/>
      <w:strike w:val="0"/>
      <w:color w:val="292929"/>
      <w:sz w:val="12"/>
      <w:szCs w:val="12"/>
      <w:u w:val="none"/>
    </w:rPr>
  </w:style>
  <w:style w:type="paragraph" w:customStyle="1" w:styleId="Style43">
    <w:name w:val="Основной текст (5)"/>
    <w:basedOn w:val="Normal"/>
    <w:link w:val="CharStyle44"/>
    <w:pPr>
      <w:widowControl w:val="0"/>
      <w:shd w:val="clear" w:color="auto" w:fill="auto"/>
      <w:spacing w:after="80"/>
      <w:ind w:left="4520"/>
    </w:pPr>
    <w:rPr>
      <w:rFonts w:ascii="Georgia" w:eastAsia="Georgia" w:hAnsi="Georgia" w:cs="Georgia"/>
      <w:b w:val="0"/>
      <w:bCs w:val="0"/>
      <w:i w:val="0"/>
      <w:iCs w:val="0"/>
      <w:smallCaps w:val="0"/>
      <w:strike w:val="0"/>
      <w:color w:val="EAEAEA"/>
      <w:sz w:val="12"/>
      <w:szCs w:val="12"/>
      <w:u w:val="none"/>
    </w:rPr>
  </w:style>
  <w:style w:type="paragraph" w:customStyle="1" w:styleId="Style45">
    <w:name w:val="Основной текст (4)"/>
    <w:basedOn w:val="Normal"/>
    <w:link w:val="CharStyle4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s>
</file>